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charts/colors1.xml" ContentType="application/vnd.ms-office.chartcolorstyle+xml"/>
  <Override PartName="/word/theme/themeOverride1.xml" ContentType="application/vnd.openxmlformats-officedocument.themeOverride+xml"/>
  <Override PartName="/word/charts/style1.xml" ContentType="application/vnd.ms-office.chartstyl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53680" w14:textId="77777777" w:rsidR="002B0A6A" w:rsidRDefault="002B0A6A" w:rsidP="002B0A6A">
      <w:pPr>
        <w:jc w:val="center"/>
        <w:rPr>
          <w:rFonts w:ascii="Times New Roman" w:hAnsi="Times New Roman" w:cs="Times New Roman"/>
        </w:rPr>
      </w:pPr>
      <w:r>
        <w:rPr>
          <w:rFonts w:ascii="Times New Roman" w:hAnsi="Times New Roman" w:cs="Times New Roman"/>
        </w:rPr>
        <w:t>Community Solar for the LMI Community</w:t>
      </w:r>
    </w:p>
    <w:p w14:paraId="4678BEFE" w14:textId="77777777" w:rsidR="002B0A6A" w:rsidRDefault="002B0A6A" w:rsidP="002B0A6A">
      <w:pPr>
        <w:pStyle w:val="Heading1"/>
        <w:rPr>
          <w:rFonts w:ascii="Times New Roman" w:eastAsia="Times New Roman" w:hAnsi="Times New Roman" w:cs="Times New Roman"/>
          <w:sz w:val="22"/>
          <w:szCs w:val="22"/>
          <w:lang w:eastAsia="de-DE"/>
        </w:rPr>
      </w:pPr>
      <w:r>
        <w:rPr>
          <w:rFonts w:ascii="Times New Roman" w:eastAsia="Times New Roman" w:hAnsi="Times New Roman" w:cs="Times New Roman"/>
          <w:sz w:val="22"/>
          <w:szCs w:val="22"/>
          <w:lang w:eastAsia="de-DE"/>
        </w:rPr>
        <w:t>Background</w:t>
      </w:r>
    </w:p>
    <w:p w14:paraId="2143DEBB" w14:textId="3644FF31" w:rsidR="002B0A6A" w:rsidRDefault="002B0A6A" w:rsidP="002B0A6A">
      <w:pPr>
        <w:widowControl w:val="0"/>
        <w:spacing w:after="120" w:line="276" w:lineRule="auto"/>
        <w:jc w:val="both"/>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The Maryland State Legislature adopted Community Solar legislation (Public Utility section 7-306.2) during its 2015 session.  It directed a three-year Community Solar Pilot Program covering 1.5% of the state’s 2015 peak electricity demand (in MW). The Maryland Public Service Commission (PSC) adopted regulations for the program in July 2016 and subsequently approved Community Solar tariffs from the investor owned utilities in April 2017.   The utilities began accepting applications for interconnection agreements and program capacity for the Pilot Program’s second </w:t>
      </w:r>
      <w:r w:rsidR="003B07C8">
        <w:rPr>
          <w:rFonts w:ascii="Times New Roman" w:eastAsia="Times New Roman" w:hAnsi="Times New Roman" w:cs="Times New Roman"/>
          <w:lang w:eastAsia="de-DE"/>
        </w:rPr>
        <w:t xml:space="preserve">and third </w:t>
      </w:r>
      <w:r>
        <w:rPr>
          <w:rFonts w:ascii="Times New Roman" w:eastAsia="Times New Roman" w:hAnsi="Times New Roman" w:cs="Times New Roman"/>
          <w:lang w:eastAsia="de-DE"/>
        </w:rPr>
        <w:t>year on October 29, 2018.</w:t>
      </w:r>
    </w:p>
    <w:p w14:paraId="43C47836" w14:textId="448A00AF" w:rsidR="002B0A6A" w:rsidRDefault="002B0A6A" w:rsidP="002B0A6A">
      <w:pPr>
        <w:widowControl w:val="0"/>
        <w:spacing w:after="120" w:line="276" w:lineRule="auto"/>
        <w:jc w:val="both"/>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Approximately 194 MW of solar capacity will be included in the Community Solar Pilot Program, split over the three years, with an approximate 77 MW, 77 MW and 39 MW, respectively.</w:t>
      </w:r>
      <w:r>
        <w:rPr>
          <w:rFonts w:ascii="Times New Roman" w:eastAsia="Times New Roman" w:hAnsi="Times New Roman" w:cs="Times New Roman"/>
          <w:color w:val="000000"/>
          <w:vertAlign w:val="superscript"/>
          <w:lang w:eastAsia="de-DE"/>
        </w:rPr>
        <w:footnoteReference w:id="1"/>
      </w:r>
      <w:r>
        <w:rPr>
          <w:rFonts w:ascii="Times New Roman" w:eastAsia="Times New Roman" w:hAnsi="Times New Roman" w:cs="Times New Roman"/>
          <w:color w:val="000000"/>
          <w:lang w:eastAsia="de-DE"/>
        </w:rPr>
        <w:t xml:space="preserve">  These numbers are only approximate as actual capacity is assigned to each Investor Owned Utility (IOU) service area based on the actual peak dema</w:t>
      </w:r>
      <w:bookmarkStart w:id="0" w:name="_GoBack"/>
      <w:bookmarkEnd w:id="0"/>
      <w:r>
        <w:rPr>
          <w:rFonts w:ascii="Times New Roman" w:eastAsia="Times New Roman" w:hAnsi="Times New Roman" w:cs="Times New Roman"/>
          <w:color w:val="000000"/>
          <w:lang w:eastAsia="de-DE"/>
        </w:rPr>
        <w:t>nd (in MW) recorded in FY 2015.</w:t>
      </w:r>
      <w:r>
        <w:rPr>
          <w:rFonts w:ascii="Times New Roman" w:eastAsia="Times New Roman" w:hAnsi="Times New Roman" w:cs="Times New Roman"/>
          <w:color w:val="000000"/>
          <w:vertAlign w:val="superscript"/>
          <w:lang w:eastAsia="de-DE"/>
        </w:rPr>
        <w:footnoteReference w:id="2"/>
      </w:r>
      <w:r>
        <w:rPr>
          <w:rFonts w:ascii="Times New Roman" w:eastAsia="Times New Roman" w:hAnsi="Times New Roman" w:cs="Times New Roman"/>
          <w:color w:val="000000"/>
          <w:lang w:eastAsia="de-DE"/>
        </w:rPr>
        <w:t xml:space="preserve">  Utilities have the option to accept project capacity that exceeds 1.5% of their maximum 2015 peak demand, but must notify the PSC.</w:t>
      </w:r>
      <w:r>
        <w:rPr>
          <w:rFonts w:ascii="Times New Roman" w:eastAsia="Times New Roman" w:hAnsi="Times New Roman" w:cs="Times New Roman"/>
          <w:color w:val="000000"/>
          <w:vertAlign w:val="superscript"/>
          <w:lang w:eastAsia="de-DE"/>
        </w:rPr>
        <w:footnoteReference w:id="3"/>
      </w:r>
      <w:r>
        <w:rPr>
          <w:rFonts w:ascii="Times New Roman" w:eastAsia="Times New Roman" w:hAnsi="Times New Roman" w:cs="Times New Roman"/>
          <w:color w:val="000000"/>
          <w:lang w:eastAsia="de-DE"/>
        </w:rPr>
        <w:t xml:space="preserve"> The Pilot Program’s regulations require 30% of the solar capacity be assigned to Low to Moderate Income (LMI) projects, with 10% of the total array energy to be used only for the Low Income participants.  </w:t>
      </w:r>
    </w:p>
    <w:p w14:paraId="63448602" w14:textId="38C401A4" w:rsidR="002B0A6A" w:rsidRDefault="002B0A6A" w:rsidP="002B0A6A">
      <w:pPr>
        <w:widowControl w:val="0"/>
        <w:spacing w:after="120" w:line="276" w:lineRule="auto"/>
        <w:jc w:val="both"/>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 xml:space="preserve">Of the </w:t>
      </w:r>
      <w:r w:rsidR="003B07C8">
        <w:rPr>
          <w:rFonts w:ascii="Times New Roman" w:eastAsia="Times New Roman" w:hAnsi="Times New Roman" w:cs="Times New Roman"/>
          <w:color w:val="000000"/>
          <w:lang w:eastAsia="de-DE"/>
        </w:rPr>
        <w:t>116,000</w:t>
      </w:r>
      <w:r>
        <w:rPr>
          <w:rFonts w:ascii="Times New Roman" w:eastAsia="Times New Roman" w:hAnsi="Times New Roman" w:cs="Times New Roman"/>
          <w:color w:val="000000"/>
          <w:lang w:eastAsia="de-DE"/>
        </w:rPr>
        <w:t xml:space="preserve"> kW authorized in </w:t>
      </w:r>
      <w:r>
        <w:rPr>
          <w:rFonts w:ascii="Times New Roman" w:eastAsia="Times New Roman" w:hAnsi="Times New Roman" w:cs="Times New Roman"/>
          <w:lang w:eastAsia="de-DE"/>
        </w:rPr>
        <w:t xml:space="preserve">the second </w:t>
      </w:r>
      <w:r w:rsidR="003B07C8">
        <w:rPr>
          <w:rFonts w:ascii="Times New Roman" w:eastAsia="Times New Roman" w:hAnsi="Times New Roman" w:cs="Times New Roman"/>
          <w:lang w:eastAsia="de-DE"/>
        </w:rPr>
        <w:t xml:space="preserve">and third </w:t>
      </w:r>
      <w:r>
        <w:rPr>
          <w:rFonts w:ascii="Times New Roman" w:eastAsia="Times New Roman" w:hAnsi="Times New Roman" w:cs="Times New Roman"/>
          <w:lang w:eastAsia="de-DE"/>
        </w:rPr>
        <w:t>year</w:t>
      </w:r>
      <w:r w:rsidR="003B07C8">
        <w:rPr>
          <w:rFonts w:ascii="Times New Roman" w:eastAsia="Times New Roman" w:hAnsi="Times New Roman" w:cs="Times New Roman"/>
          <w:lang w:eastAsia="de-DE"/>
        </w:rPr>
        <w:t>s</w:t>
      </w:r>
      <w:r>
        <w:rPr>
          <w:rFonts w:ascii="Times New Roman" w:eastAsia="Times New Roman" w:hAnsi="Times New Roman" w:cs="Times New Roman"/>
          <w:lang w:eastAsia="de-DE"/>
        </w:rPr>
        <w:t xml:space="preserve"> </w:t>
      </w:r>
      <w:r>
        <w:rPr>
          <w:rFonts w:ascii="Times New Roman" w:eastAsia="Times New Roman" w:hAnsi="Times New Roman" w:cs="Times New Roman"/>
          <w:color w:val="000000"/>
          <w:lang w:eastAsia="de-DE"/>
        </w:rPr>
        <w:t xml:space="preserve">of the Pilot Program, </w:t>
      </w:r>
      <w:r w:rsidR="003B07C8">
        <w:rPr>
          <w:rFonts w:ascii="Times New Roman" w:eastAsia="Times New Roman" w:hAnsi="Times New Roman" w:cs="Times New Roman"/>
          <w:color w:val="000000"/>
          <w:lang w:eastAsia="de-DE"/>
        </w:rPr>
        <w:t>34,8</w:t>
      </w:r>
      <w:r>
        <w:rPr>
          <w:rFonts w:ascii="Times New Roman" w:eastAsia="Times New Roman" w:hAnsi="Times New Roman" w:cs="Times New Roman"/>
          <w:color w:val="000000"/>
          <w:lang w:eastAsia="de-DE"/>
        </w:rPr>
        <w:t xml:space="preserve">00 kW (30%) are designated “LMI projects”.  Of this capacity, </w:t>
      </w:r>
      <w:r w:rsidR="003B07C8">
        <w:rPr>
          <w:rFonts w:ascii="Times New Roman" w:eastAsia="Times New Roman" w:hAnsi="Times New Roman" w:cs="Times New Roman"/>
          <w:color w:val="000000"/>
          <w:lang w:eastAsia="de-DE"/>
        </w:rPr>
        <w:t>10,440</w:t>
      </w:r>
      <w:r>
        <w:rPr>
          <w:rFonts w:ascii="Times New Roman" w:eastAsia="Times New Roman" w:hAnsi="Times New Roman" w:cs="Times New Roman"/>
          <w:color w:val="000000"/>
          <w:lang w:eastAsia="de-DE"/>
        </w:rPr>
        <w:t xml:space="preserve"> kW (30%) are set aside for people who meet LMI criteria.</w:t>
      </w:r>
      <w:r>
        <w:rPr>
          <w:rStyle w:val="FootnoteReference"/>
          <w:color w:val="000000"/>
        </w:rPr>
        <w:footnoteReference w:id="4"/>
      </w:r>
      <w:r>
        <w:rPr>
          <w:rFonts w:ascii="Times New Roman" w:eastAsia="Times New Roman" w:hAnsi="Times New Roman" w:cs="Times New Roman"/>
          <w:color w:val="000000"/>
          <w:lang w:eastAsia="de-DE"/>
        </w:rPr>
        <w:t xml:space="preserve">  Of this energy, </w:t>
      </w:r>
      <w:r w:rsidR="003B07C8">
        <w:rPr>
          <w:rFonts w:ascii="Times New Roman" w:eastAsia="Times New Roman" w:hAnsi="Times New Roman" w:cs="Times New Roman"/>
          <w:color w:val="000000"/>
          <w:lang w:eastAsia="de-DE"/>
        </w:rPr>
        <w:t>3,480</w:t>
      </w:r>
      <w:r>
        <w:rPr>
          <w:rFonts w:ascii="Times New Roman" w:eastAsia="Times New Roman" w:hAnsi="Times New Roman" w:cs="Times New Roman"/>
          <w:color w:val="000000"/>
          <w:lang w:eastAsia="de-DE"/>
        </w:rPr>
        <w:t xml:space="preserve"> kW must be used for those that meet Low Income criteria.</w:t>
      </w:r>
    </w:p>
    <w:p w14:paraId="56D5E520" w14:textId="77777777" w:rsidR="002B0A6A" w:rsidRDefault="002B0A6A" w:rsidP="002B0A6A">
      <w:pPr>
        <w:widowControl w:val="0"/>
        <w:spacing w:after="120" w:line="276" w:lineRule="auto"/>
        <w:jc w:val="both"/>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While members of the LMI community are eligible to participate using either an “ownership” or a “PPA” model, most projects available to the LMI community will use a PPA model.  Projects marketed to the LMI community should address their needs, which include:</w:t>
      </w:r>
    </w:p>
    <w:p w14:paraId="66C3D3C4" w14:textId="77777777" w:rsidR="002B0A6A" w:rsidRDefault="002B0A6A" w:rsidP="002B0A6A">
      <w:pPr>
        <w:pStyle w:val="ListParagraph"/>
        <w:widowControl w:val="0"/>
        <w:numPr>
          <w:ilvl w:val="0"/>
          <w:numId w:val="5"/>
        </w:numPr>
        <w:spacing w:after="120" w:line="276" w:lineRule="auto"/>
        <w:jc w:val="both"/>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Portability:  Some members of the LMI community move frequently, and therefore, the PPA contract must be portable.</w:t>
      </w:r>
    </w:p>
    <w:p w14:paraId="019FE990" w14:textId="77777777" w:rsidR="002B0A6A" w:rsidRDefault="002B0A6A" w:rsidP="002B0A6A">
      <w:pPr>
        <w:pStyle w:val="ListParagraph"/>
        <w:widowControl w:val="0"/>
        <w:numPr>
          <w:ilvl w:val="0"/>
          <w:numId w:val="5"/>
        </w:numPr>
        <w:spacing w:after="120" w:line="276" w:lineRule="auto"/>
        <w:jc w:val="both"/>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Term of Commitment:  Many LMI consumers may shy away from signing long term financial commitments.  As such, short term commitments may be preferable to long term commitments.</w:t>
      </w:r>
    </w:p>
    <w:p w14:paraId="6ECFE73E" w14:textId="77777777" w:rsidR="002B0A6A" w:rsidRDefault="002B0A6A" w:rsidP="002B0A6A">
      <w:pPr>
        <w:pStyle w:val="ListParagraph"/>
        <w:widowControl w:val="0"/>
        <w:numPr>
          <w:ilvl w:val="0"/>
          <w:numId w:val="5"/>
        </w:numPr>
        <w:spacing w:after="120" w:line="276" w:lineRule="auto"/>
        <w:jc w:val="both"/>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Savings:  Projects should save the LMI household money, not just at the beginning of the contract but throughout the contract.</w:t>
      </w:r>
    </w:p>
    <w:p w14:paraId="38E71CA0" w14:textId="77777777" w:rsidR="002B0A6A" w:rsidRDefault="002B0A6A" w:rsidP="002B0A6A">
      <w:pPr>
        <w:pStyle w:val="ListParagraph"/>
        <w:widowControl w:val="0"/>
        <w:numPr>
          <w:ilvl w:val="0"/>
          <w:numId w:val="5"/>
        </w:numPr>
        <w:spacing w:after="120" w:line="276" w:lineRule="auto"/>
        <w:jc w:val="both"/>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Knowledge:  Few members of the LMI community have experience with PPA contracts and may not fully understand aspects of the PPA contract.  Project marketing must aim to assure that LMI consumers are knowledgeable of key aspects of the PPA agreement that could affect them during the term of the contract.</w:t>
      </w:r>
    </w:p>
    <w:p w14:paraId="1542091C" w14:textId="77777777" w:rsidR="002B0A6A" w:rsidRDefault="002B0A6A" w:rsidP="002B0A6A">
      <w:pPr>
        <w:pStyle w:val="ListParagraph"/>
        <w:widowControl w:val="0"/>
        <w:numPr>
          <w:ilvl w:val="0"/>
          <w:numId w:val="5"/>
        </w:numPr>
        <w:spacing w:after="120" w:line="276" w:lineRule="auto"/>
        <w:jc w:val="both"/>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 xml:space="preserve">Qualification for the PPA:  In order to gain a favorable financing rate, solar array developers must show a low financial risk, i.e. the ability to reliably pay off the loan on time.  Developers often achieve this low financial risk by signing up subscribers that have a high credit score.  However, </w:t>
      </w:r>
      <w:r>
        <w:rPr>
          <w:rFonts w:ascii="Times New Roman" w:eastAsia="Times New Roman" w:hAnsi="Times New Roman" w:cs="Times New Roman"/>
          <w:color w:val="000000"/>
          <w:lang w:eastAsia="de-DE"/>
        </w:rPr>
        <w:lastRenderedPageBreak/>
        <w:t>many in the LMI community do not have a high enough credit score to qualify as one of these subscribers.  As such, an LMI Pilot project must include a mechanism to reduce the financial risk of having subscribers without high credit scores.</w:t>
      </w:r>
    </w:p>
    <w:p w14:paraId="216428A0" w14:textId="77777777" w:rsidR="002B0A6A" w:rsidRDefault="002B0A6A" w:rsidP="002B0A6A">
      <w:pPr>
        <w:widowControl w:val="0"/>
        <w:spacing w:after="120" w:line="276" w:lineRule="auto"/>
        <w:jc w:val="both"/>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 xml:space="preserve"> </w:t>
      </w:r>
    </w:p>
    <w:p w14:paraId="1A775779" w14:textId="77777777" w:rsidR="002B0A6A" w:rsidRDefault="002B0A6A" w:rsidP="002B0A6A">
      <w:pPr>
        <w:pStyle w:val="Heading1"/>
        <w:rPr>
          <w:rFonts w:ascii="Times New Roman" w:hAnsi="Times New Roman" w:cs="Times New Roman"/>
          <w:sz w:val="22"/>
          <w:szCs w:val="22"/>
        </w:rPr>
      </w:pPr>
      <w:r>
        <w:rPr>
          <w:rFonts w:ascii="Times New Roman" w:hAnsi="Times New Roman" w:cs="Times New Roman"/>
          <w:sz w:val="22"/>
          <w:szCs w:val="22"/>
        </w:rPr>
        <w:t>Strategy</w:t>
      </w:r>
    </w:p>
    <w:p w14:paraId="6F636C29" w14:textId="77777777" w:rsidR="002B0A6A" w:rsidRDefault="002B0A6A" w:rsidP="002B0A6A">
      <w:pPr>
        <w:widowControl w:val="0"/>
        <w:spacing w:after="120" w:line="276" w:lineRule="auto"/>
        <w:jc w:val="both"/>
        <w:rPr>
          <w:rFonts w:ascii="Times New Roman" w:hAnsi="Times New Roman" w:cs="Times New Roman"/>
        </w:rPr>
      </w:pPr>
      <w:r>
        <w:rPr>
          <w:rFonts w:ascii="Times New Roman" w:hAnsi="Times New Roman" w:cs="Times New Roman"/>
        </w:rPr>
        <w:t>The Maryland Energy Administration’s Community Solar grant programs provides incentives to support members of the LMI community’s involvement through three linked efforts:</w:t>
      </w:r>
    </w:p>
    <w:p w14:paraId="54394B5E" w14:textId="77777777" w:rsidR="002B0A6A" w:rsidRDefault="002B0A6A" w:rsidP="002B0A6A">
      <w:pPr>
        <w:widowControl w:val="0"/>
        <w:spacing w:after="120" w:line="276" w:lineRule="auto"/>
        <w:jc w:val="both"/>
        <w:rPr>
          <w:rFonts w:ascii="Times New Roman" w:hAnsi="Times New Roman" w:cs="Times New Roman"/>
        </w:rPr>
      </w:pPr>
      <w:r>
        <w:rPr>
          <w:rFonts w:ascii="Times New Roman" w:hAnsi="Times New Roman" w:cs="Times New Roman"/>
          <w:b/>
          <w:u w:val="single"/>
        </w:rPr>
        <w:t xml:space="preserve">MEA is funding, and </w:t>
      </w:r>
      <w:r>
        <w:rPr>
          <w:rFonts w:ascii="Times New Roman" w:hAnsi="Times New Roman" w:cs="Times New Roman"/>
        </w:rPr>
        <w:t>will encourage neutral third party educators to assist the LMI community to understand the pros and cons of PPAs, including pointing out the key paragraphs that impose costs and duties on the consumer (e.g., requiring consumers to contact the subscriber organization).  This aspect may include development of literature for potential LMI subscribers, speaking at solar developers’ sales meetings with potential LMI subscribers, and providing outreach into the community independent of the sales efforts.  These third party educators are solely focused on assuring that the LMI subscriber understands key elements of the PPA agreement.</w:t>
      </w:r>
    </w:p>
    <w:p w14:paraId="350D3356" w14:textId="1C827271" w:rsidR="002B0A6A" w:rsidRDefault="002B0A6A" w:rsidP="002B0A6A">
      <w:pPr>
        <w:pStyle w:val="ListParagraph"/>
        <w:widowControl w:val="0"/>
        <w:numPr>
          <w:ilvl w:val="0"/>
          <w:numId w:val="6"/>
        </w:numPr>
        <w:spacing w:after="120" w:line="276" w:lineRule="auto"/>
        <w:jc w:val="both"/>
        <w:rPr>
          <w:rFonts w:ascii="Times New Roman" w:hAnsi="Times New Roman" w:cs="Times New Roman"/>
        </w:rPr>
      </w:pPr>
      <w:r>
        <w:rPr>
          <w:rFonts w:ascii="Times New Roman" w:hAnsi="Times New Roman" w:cs="Times New Roman"/>
        </w:rPr>
        <w:t xml:space="preserve">The Maryland Energy Administration will fund the Maryland Environmental Service (MES) to run this program, including the development of the Request for Proposal (RFP) and a subsequent contract with third party educators.    </w:t>
      </w:r>
    </w:p>
    <w:p w14:paraId="56772A14" w14:textId="77777777" w:rsidR="002B0A6A" w:rsidRDefault="002B0A6A" w:rsidP="002B0A6A">
      <w:pPr>
        <w:widowControl w:val="0"/>
        <w:spacing w:after="120" w:line="276" w:lineRule="auto"/>
        <w:jc w:val="both"/>
        <w:rPr>
          <w:rFonts w:ascii="Times New Roman" w:hAnsi="Times New Roman" w:cs="Times New Roman"/>
        </w:rPr>
      </w:pPr>
      <w:r>
        <w:rPr>
          <w:rFonts w:ascii="Times New Roman" w:hAnsi="Times New Roman" w:cs="Times New Roman"/>
          <w:b/>
        </w:rPr>
        <w:t xml:space="preserve">MEA is providing for a method to minimize LMI Pilot project financial risk </w:t>
      </w:r>
      <w:r>
        <w:rPr>
          <w:rFonts w:ascii="Times New Roman" w:hAnsi="Times New Roman" w:cs="Times New Roman"/>
        </w:rPr>
        <w:t>by providing grant funds to a third party guarantee of loan payment.  The use of a loan guaranty fund can serve this function by providing funding to replace payments from LMI subscribers who miss, or are late on their monthly PPA energy payments.  The fund with then be reimbursed by the eventual late payments from these LMI subscribers.  However, subscribers who fail to make late payments may be unsubscribed and new subscribers found who will meet the monthly obligations.  As such, over the life of the project, the subscriber pool should demonstrate reduced risk as unreliable subscribers are gradually replaced by reliable subscribers</w:t>
      </w:r>
      <w:r>
        <w:rPr>
          <w:rFonts w:ascii="Times New Roman" w:hAnsi="Times New Roman" w:cs="Times New Roman"/>
          <w:b/>
        </w:rPr>
        <w:t>.</w:t>
      </w:r>
      <w:r>
        <w:rPr>
          <w:rFonts w:ascii="Times New Roman" w:hAnsi="Times New Roman" w:cs="Times New Roman"/>
        </w:rPr>
        <w:t xml:space="preserve">  </w:t>
      </w:r>
    </w:p>
    <w:p w14:paraId="3496382E" w14:textId="77777777" w:rsidR="002B0A6A" w:rsidRDefault="002B0A6A" w:rsidP="002B0A6A">
      <w:pPr>
        <w:pStyle w:val="ListParagraph"/>
        <w:widowControl w:val="0"/>
        <w:numPr>
          <w:ilvl w:val="0"/>
          <w:numId w:val="6"/>
        </w:numPr>
        <w:spacing w:after="120" w:line="276" w:lineRule="auto"/>
        <w:jc w:val="both"/>
        <w:rPr>
          <w:rFonts w:ascii="Times New Roman" w:hAnsi="Times New Roman" w:cs="Times New Roman"/>
        </w:rPr>
      </w:pPr>
      <w:r>
        <w:rPr>
          <w:rFonts w:ascii="Times New Roman" w:hAnsi="Times New Roman" w:cs="Times New Roman"/>
        </w:rPr>
        <w:t xml:space="preserve">MEA provided grant funding (up to $1,000,000 on a reimbursable basis) to the Climate Access Fund to perform this third party guarantee function. Under its Grant Agreement with MEA, the Climate Access Fund may use available grant funds to minimize financial risks for LMI-PPA projects approved to participate in the Community Solar Pilot project for years 1, 2, or 3.   </w:t>
      </w:r>
    </w:p>
    <w:p w14:paraId="01F5FA4E" w14:textId="77777777" w:rsidR="002B0A6A" w:rsidRDefault="002B0A6A" w:rsidP="002B0A6A">
      <w:pPr>
        <w:widowControl w:val="0"/>
        <w:spacing w:after="120" w:line="276" w:lineRule="auto"/>
        <w:jc w:val="both"/>
        <w:rPr>
          <w:rFonts w:ascii="Times New Roman" w:hAnsi="Times New Roman" w:cs="Times New Roman"/>
        </w:rPr>
      </w:pPr>
      <w:r>
        <w:rPr>
          <w:rFonts w:ascii="Times New Roman" w:hAnsi="Times New Roman" w:cs="Times New Roman"/>
          <w:b/>
          <w:u w:val="single"/>
        </w:rPr>
        <w:t>MEA Grants will offer incentives to subscriber organizations</w:t>
      </w:r>
      <w:r>
        <w:rPr>
          <w:rFonts w:ascii="Times New Roman" w:hAnsi="Times New Roman" w:cs="Times New Roman"/>
        </w:rPr>
        <w:t xml:space="preserve"> for offering PPAs that provide real value to the LMI community.  These grant incentives will encourage PPA contracts with shorter terms as well as guaranteed savings throughout the life of the PPA.  The rationale for encouraging these types of PPAs is provided below.  </w:t>
      </w:r>
    </w:p>
    <w:p w14:paraId="549041A6" w14:textId="77777777" w:rsidR="002B0A6A" w:rsidRDefault="002B0A6A" w:rsidP="002B0A6A">
      <w:pPr>
        <w:pStyle w:val="ListParagraph"/>
        <w:widowControl w:val="0"/>
        <w:numPr>
          <w:ilvl w:val="0"/>
          <w:numId w:val="7"/>
        </w:numPr>
        <w:spacing w:after="120" w:line="276" w:lineRule="auto"/>
        <w:jc w:val="both"/>
        <w:rPr>
          <w:rFonts w:ascii="Times New Roman" w:hAnsi="Times New Roman" w:cs="Times New Roman"/>
        </w:rPr>
      </w:pPr>
      <w:r>
        <w:rPr>
          <w:rFonts w:ascii="Times New Roman" w:hAnsi="Times New Roman" w:cs="Times New Roman"/>
        </w:rPr>
        <w:t xml:space="preserve">PPA contracts will always show savings at the beginning of the contract term, but will often include a cost escalator clause to account for estimated inflation and cost escalation during the contract period.  A common escalator currently in use increases the PPA cost of energy by 2.9% per year over the term of the contract; however, other options are negotiable.  If the actual cost of electricity increases by less than the PPA escalator rate, the value of the savings will be diminished over time.  Thus, it is possible that the PPA rate will exceed the energy rate charged by the utility.  To prevent this loss of value over the life of the PPA contract, the subscriber organization could agree to </w:t>
      </w:r>
      <w:r>
        <w:rPr>
          <w:rFonts w:ascii="Times New Roman" w:hAnsi="Times New Roman" w:cs="Times New Roman"/>
        </w:rPr>
        <w:lastRenderedPageBreak/>
        <w:t xml:space="preserve">maintain a constant percentage savings throughout the life of the contract.  This could be achieved by having the PPA escalator rate match the long term rate of electricity cost increase in Maryland (about 2%), or by having the subscriber organization agree to set its price as a percentage of the retail price of electricity within the subscriber’s electric utility service area.  The amount of the MEA grant incentive is designed to recompense the subscriber organization for taking on this inflation risk.  </w:t>
      </w:r>
    </w:p>
    <w:p w14:paraId="3D3369CE" w14:textId="77777777" w:rsidR="002B0A6A" w:rsidRDefault="002B0A6A" w:rsidP="002B0A6A">
      <w:pPr>
        <w:pStyle w:val="ListParagraph"/>
        <w:widowControl w:val="0"/>
        <w:numPr>
          <w:ilvl w:val="0"/>
          <w:numId w:val="7"/>
        </w:numPr>
        <w:spacing w:after="120" w:line="276" w:lineRule="auto"/>
        <w:jc w:val="both"/>
        <w:rPr>
          <w:rFonts w:ascii="Times New Roman" w:hAnsi="Times New Roman" w:cs="Times New Roman"/>
        </w:rPr>
      </w:pPr>
      <w:r>
        <w:rPr>
          <w:rFonts w:ascii="Times New Roman" w:hAnsi="Times New Roman" w:cs="Times New Roman"/>
        </w:rPr>
        <w:t xml:space="preserve">Most PPA contracts will try to provide a clear value to the customer during the first year of the contract (with the value during subsequent years being controlled by the utility’s electricity sales price and the PPA escalator clause, as discussed in the above paragraph).  For the LMI community, MEA will incentivize savings that exceed 15% below the utility’s Standard Offer Service (SOS) rate.  The greater the saving, the greater the incentive.  </w:t>
      </w:r>
    </w:p>
    <w:p w14:paraId="786ECEE9" w14:textId="527FB4E9" w:rsidR="002B0A6A" w:rsidRPr="00A452A5" w:rsidRDefault="002B0A6A" w:rsidP="002B0A6A">
      <w:pPr>
        <w:pStyle w:val="ListParagraph"/>
        <w:widowControl w:val="0"/>
        <w:numPr>
          <w:ilvl w:val="0"/>
          <w:numId w:val="7"/>
        </w:numPr>
        <w:spacing w:after="120" w:line="276" w:lineRule="auto"/>
        <w:jc w:val="both"/>
        <w:rPr>
          <w:rFonts w:ascii="Times New Roman" w:hAnsi="Times New Roman" w:cs="Times New Roman"/>
        </w:rPr>
      </w:pPr>
      <w:r>
        <w:rPr>
          <w:rFonts w:ascii="Times New Roman" w:hAnsi="Times New Roman" w:cs="Times New Roman"/>
        </w:rPr>
        <w:t xml:space="preserve">In FY18, MEA addressed the risk associated with a shorter term of commitment by offering an incentive for shorter term contracts.  However, during this initial year of the Community Solar LMI PPA Grant Program (FY 18), MEA determined that all the grantees in this program had already intended to offer relatively short term contracts for the LMI community (Also, those grantees offering the longer terms within this group also provided low cost methods for the subscriber to </w:t>
      </w:r>
      <w:r w:rsidRPr="00A452A5">
        <w:rPr>
          <w:rFonts w:ascii="Times New Roman" w:hAnsi="Times New Roman" w:cs="Times New Roman"/>
        </w:rPr>
        <w:t xml:space="preserve">break the contract before the end of term).  As such, MEA is </w:t>
      </w:r>
      <w:r w:rsidRPr="00A452A5">
        <w:rPr>
          <w:rFonts w:ascii="Times New Roman" w:hAnsi="Times New Roman" w:cs="Times New Roman"/>
          <w:u w:val="single"/>
        </w:rPr>
        <w:t>not</w:t>
      </w:r>
      <w:r w:rsidRPr="00A452A5">
        <w:rPr>
          <w:rFonts w:ascii="Times New Roman" w:hAnsi="Times New Roman" w:cs="Times New Roman"/>
        </w:rPr>
        <w:t xml:space="preserve"> offering this incentive as a part of the FY </w:t>
      </w:r>
      <w:r w:rsidR="00A452A5">
        <w:rPr>
          <w:rFonts w:ascii="Times New Roman" w:hAnsi="Times New Roman" w:cs="Times New Roman"/>
        </w:rPr>
        <w:t>20</w:t>
      </w:r>
      <w:r w:rsidRPr="00A452A5">
        <w:rPr>
          <w:rFonts w:ascii="Times New Roman" w:hAnsi="Times New Roman" w:cs="Times New Roman"/>
        </w:rPr>
        <w:t xml:space="preserve"> Community Solar LMI PPA Grant Program.</w:t>
      </w:r>
    </w:p>
    <w:p w14:paraId="4E04C0FF" w14:textId="707FC343" w:rsidR="002B0A6A" w:rsidRDefault="002B0A6A" w:rsidP="002B0A6A">
      <w:pPr>
        <w:pStyle w:val="ListParagraph"/>
        <w:widowControl w:val="0"/>
        <w:numPr>
          <w:ilvl w:val="0"/>
          <w:numId w:val="7"/>
        </w:numPr>
        <w:spacing w:after="120" w:line="276" w:lineRule="auto"/>
        <w:jc w:val="both"/>
        <w:rPr>
          <w:rFonts w:ascii="Times New Roman" w:hAnsi="Times New Roman" w:cs="Times New Roman"/>
          <w:color w:val="FF0000"/>
        </w:rPr>
      </w:pPr>
      <w:r w:rsidRPr="00A452A5">
        <w:rPr>
          <w:rFonts w:ascii="Times New Roman" w:hAnsi="Times New Roman" w:cs="Times New Roman"/>
        </w:rPr>
        <w:t xml:space="preserve">During the </w:t>
      </w:r>
      <w:r w:rsidR="00A452A5">
        <w:rPr>
          <w:rFonts w:ascii="Times New Roman" w:hAnsi="Times New Roman" w:cs="Times New Roman"/>
        </w:rPr>
        <w:t>first two years</w:t>
      </w:r>
      <w:r w:rsidRPr="00A452A5">
        <w:rPr>
          <w:rFonts w:ascii="Times New Roman" w:hAnsi="Times New Roman" w:cs="Times New Roman"/>
        </w:rPr>
        <w:t xml:space="preserve"> of the Pilot Program, there was considerable discussion in the Community Solar Working Group concerning the manner to validate the eligibility of a Low and Moderate income household</w:t>
      </w:r>
      <w:r>
        <w:rPr>
          <w:rFonts w:ascii="Times New Roman" w:hAnsi="Times New Roman" w:cs="Times New Roman"/>
        </w:rPr>
        <w:t xml:space="preserve">.  In most cases, a low income household that would be eligible for federal assistance programs which used the same definition of “Low Income” as that used by the Community Solar regulations would be considered validated.  However, confirming eligibility for moderate income households is more complex.  Options discussed included having the subscriber organization review the moderate income subscriber’s income documents (possibly including the last income tax submittal), and maintaining a copy of the income/tax documents on premises to allow for auditability by the Maryland PSC (or other Maryland agency).  This approach would require additional time and resources to train individuals to carry out the review, validate each potential moderate income subscriber, and securely maintain the financial records on an ongoing basis.  An alternate option discussed was hiring a third party to conduct the income validation and securely maintain the required financial records.  Under this approach, the subscriber organization need only maintain documentation from the third party that the household met the moderate income criteria of the Community Solar regulations.  In order to allow for third party validation, MEA is now offering an incentive as part of its FY </w:t>
      </w:r>
      <w:r w:rsidR="00FA7765">
        <w:rPr>
          <w:rFonts w:ascii="Times New Roman" w:hAnsi="Times New Roman" w:cs="Times New Roman"/>
        </w:rPr>
        <w:t xml:space="preserve">20 </w:t>
      </w:r>
      <w:r>
        <w:rPr>
          <w:rFonts w:ascii="Times New Roman" w:hAnsi="Times New Roman" w:cs="Times New Roman"/>
        </w:rPr>
        <w:t xml:space="preserve">Community Solar LMI PPA Grant program to provide reimbursement for a portion of the costs for third party income validation of LMI subscribers.  </w:t>
      </w:r>
    </w:p>
    <w:p w14:paraId="276CD652" w14:textId="77777777" w:rsidR="002B0A6A" w:rsidRDefault="002B0A6A" w:rsidP="002B0A6A">
      <w:pPr>
        <w:pStyle w:val="Heading1"/>
        <w:rPr>
          <w:rFonts w:ascii="Times New Roman" w:hAnsi="Times New Roman" w:cs="Times New Roman"/>
          <w:sz w:val="22"/>
          <w:szCs w:val="22"/>
        </w:rPr>
      </w:pPr>
      <w:r>
        <w:rPr>
          <w:rFonts w:ascii="Times New Roman" w:hAnsi="Times New Roman" w:cs="Times New Roman"/>
          <w:sz w:val="22"/>
          <w:szCs w:val="22"/>
        </w:rPr>
        <w:t xml:space="preserve"> Analysis:</w:t>
      </w:r>
    </w:p>
    <w:p w14:paraId="1566DFE8" w14:textId="01A82A3B" w:rsidR="002B0A6A" w:rsidRDefault="002B0A6A" w:rsidP="002B0A6A">
      <w:pPr>
        <w:rPr>
          <w:rFonts w:ascii="Times New Roman" w:hAnsi="Times New Roman" w:cs="Times New Roman"/>
        </w:rPr>
      </w:pPr>
      <w:r>
        <w:rPr>
          <w:rFonts w:ascii="Times New Roman" w:hAnsi="Times New Roman" w:cs="Times New Roman"/>
        </w:rPr>
        <w:t xml:space="preserve">A 2 MW (2,000 kW) array with 30% LMI subscribers would have 600 kW assigned for LMI use.  </w:t>
      </w:r>
      <w:r w:rsidR="00FA7765">
        <w:rPr>
          <w:rFonts w:ascii="Times New Roman" w:hAnsi="Times New Roman" w:cs="Times New Roman"/>
        </w:rPr>
        <w:t xml:space="preserve">While there are no limits to the number of </w:t>
      </w:r>
      <w:r>
        <w:rPr>
          <w:rFonts w:ascii="Times New Roman" w:hAnsi="Times New Roman" w:cs="Times New Roman"/>
        </w:rPr>
        <w:t>subscribers per array</w:t>
      </w:r>
      <w:r w:rsidR="00FA7765">
        <w:rPr>
          <w:rFonts w:ascii="Times New Roman" w:hAnsi="Times New Roman" w:cs="Times New Roman"/>
        </w:rPr>
        <w:t>, MEA will only provide incentives to conduct income verification for up to 350 potential subscribers.</w:t>
      </w:r>
      <w:r>
        <w:rPr>
          <w:rFonts w:ascii="Times New Roman" w:hAnsi="Times New Roman" w:cs="Times New Roman"/>
        </w:rPr>
        <w:t xml:space="preserve"> </w:t>
      </w:r>
    </w:p>
    <w:p w14:paraId="26A89223" w14:textId="77777777" w:rsidR="002B0A6A" w:rsidRDefault="002B0A6A" w:rsidP="002B0A6A">
      <w:pPr>
        <w:rPr>
          <w:rFonts w:ascii="Times New Roman" w:hAnsi="Times New Roman" w:cs="Times New Roman"/>
        </w:rPr>
      </w:pPr>
      <w:r>
        <w:rPr>
          <w:rFonts w:ascii="Times New Roman" w:hAnsi="Times New Roman" w:cs="Times New Roman"/>
          <w:b/>
          <w:u w:val="single"/>
        </w:rPr>
        <w:t>LMI Validation Grant Incentive</w:t>
      </w:r>
      <w:r>
        <w:rPr>
          <w:rFonts w:ascii="Times New Roman" w:hAnsi="Times New Roman" w:cs="Times New Roman"/>
        </w:rPr>
        <w:t>:</w:t>
      </w:r>
    </w:p>
    <w:p w14:paraId="2BFB0DCD" w14:textId="342B0EF5" w:rsidR="002B0A6A" w:rsidRDefault="002B0A6A" w:rsidP="002B0A6A">
      <w:pPr>
        <w:rPr>
          <w:rFonts w:ascii="Times New Roman" w:hAnsi="Times New Roman" w:cs="Times New Roman"/>
        </w:rPr>
      </w:pPr>
      <w:r>
        <w:rPr>
          <w:rFonts w:ascii="Times New Roman" w:hAnsi="Times New Roman" w:cs="Times New Roman"/>
        </w:rPr>
        <w:t>At least one company was found that would provide 3</w:t>
      </w:r>
      <w:r>
        <w:rPr>
          <w:rFonts w:ascii="Times New Roman" w:hAnsi="Times New Roman" w:cs="Times New Roman"/>
          <w:vertAlign w:val="superscript"/>
        </w:rPr>
        <w:t>rd</w:t>
      </w:r>
      <w:r>
        <w:rPr>
          <w:rFonts w:ascii="Times New Roman" w:hAnsi="Times New Roman" w:cs="Times New Roman"/>
        </w:rPr>
        <w:t xml:space="preserve"> party income validation services for approximately $30/review.  Based in part on this general amount, MEA is offering a reimbursement of up to $10,500 to a grantee for third party validation services for potential LMI subscribers.  This amount was </w:t>
      </w:r>
      <w:r>
        <w:rPr>
          <w:rFonts w:ascii="Times New Roman" w:hAnsi="Times New Roman" w:cs="Times New Roman"/>
        </w:rPr>
        <w:lastRenderedPageBreak/>
        <w:t>determined based on an assumption that the grantee pays for 350 reviews at a maximum incentive reimbursement amount of $30 per review. ($</w:t>
      </w:r>
      <w:r w:rsidR="006F0206">
        <w:rPr>
          <w:rFonts w:ascii="Times New Roman" w:hAnsi="Times New Roman" w:cs="Times New Roman"/>
        </w:rPr>
        <w:t>30 X</w:t>
      </w:r>
      <w:r>
        <w:rPr>
          <w:rFonts w:ascii="Times New Roman" w:hAnsi="Times New Roman" w:cs="Times New Roman"/>
        </w:rPr>
        <w:t xml:space="preserve"> 350 subscribers = $10,500)  Any third party income validation cost above $10,500 will be borne by the subscriber organization.  </w:t>
      </w:r>
    </w:p>
    <w:p w14:paraId="594D3714" w14:textId="77777777" w:rsidR="002B0A6A" w:rsidRDefault="002B0A6A" w:rsidP="002B0A6A">
      <w:pPr>
        <w:rPr>
          <w:rFonts w:ascii="Times New Roman" w:hAnsi="Times New Roman" w:cs="Times New Roman"/>
          <w:b/>
          <w:u w:val="single"/>
        </w:rPr>
      </w:pPr>
      <w:r>
        <w:rPr>
          <w:rFonts w:ascii="Times New Roman" w:hAnsi="Times New Roman" w:cs="Times New Roman"/>
          <w:b/>
          <w:u w:val="single"/>
        </w:rPr>
        <w:t>Subscription Incentive:</w:t>
      </w:r>
    </w:p>
    <w:p w14:paraId="0246F0A8" w14:textId="77777777" w:rsidR="002B0A6A" w:rsidRDefault="002B0A6A" w:rsidP="002B0A6A">
      <w:pPr>
        <w:rPr>
          <w:rFonts w:ascii="Times New Roman" w:hAnsi="Times New Roman" w:cs="Times New Roman"/>
        </w:rPr>
      </w:pPr>
      <w:r>
        <w:rPr>
          <w:rFonts w:ascii="Times New Roman" w:hAnsi="Times New Roman" w:cs="Times New Roman"/>
        </w:rPr>
        <w:t xml:space="preserve">MEA grant funds being offered as a subscription incentive is based on the difference between the Net Present Value of the savings from a base case (which is the savings generally offered in a residential homeowners PPA) and from the proposed PPA from the Subscriber Organization which will be offered to an LMI Subscriber (the test case).  The subscriber organization shall describe their time vs. cost table which shall be mapped into the Test Case model of the LMI PPA Incentive Calculator.  If a step-down model is used, the time vs. cost table shall be mapped into the Step-Down Case model of the LMI PPA Incentive Calculator.  (Incentive caps for step-down projects will be agreed upon on a case by case basis.)  </w:t>
      </w:r>
    </w:p>
    <w:p w14:paraId="768B1034" w14:textId="2B68CBDD" w:rsidR="002B0A6A" w:rsidRDefault="002B0A6A" w:rsidP="002B0A6A">
      <w:pPr>
        <w:rPr>
          <w:rFonts w:ascii="Times New Roman" w:hAnsi="Times New Roman" w:cs="Times New Roman"/>
        </w:rPr>
      </w:pPr>
      <w:r>
        <w:rPr>
          <w:rFonts w:ascii="Times New Roman" w:hAnsi="Times New Roman" w:cs="Times New Roman"/>
        </w:rPr>
        <w:t xml:space="preserve">Assume the initial utility rate for electricity is $0.14/kWh.  The base case assumes the utility escalation rate for Standard Offer Service (SOS) is 2.00%/year.  The base case PPA escalation rate is 2.90%/year; and the assumed discount rate is 10%. Unlike the 20% reduction assumed for the FY18 MEA Community Solar LMI PPA Grant program, in FY </w:t>
      </w:r>
      <w:r w:rsidR="00A10629">
        <w:rPr>
          <w:rFonts w:ascii="Times New Roman" w:hAnsi="Times New Roman" w:cs="Times New Roman"/>
        </w:rPr>
        <w:t>20</w:t>
      </w:r>
      <w:r>
        <w:rPr>
          <w:rFonts w:ascii="Times New Roman" w:hAnsi="Times New Roman" w:cs="Times New Roman"/>
        </w:rPr>
        <w:t>, MEA is assuming a 15% reduction below the utility SOS rate.   This produces a net present value of the savings stream for the base case of 14.159 cents per kilowatt-hour (kWh).</w:t>
      </w:r>
    </w:p>
    <w:p w14:paraId="4FF99D6B" w14:textId="0DD67AFD" w:rsidR="002B0A6A" w:rsidRDefault="002B0A6A" w:rsidP="002B0A6A">
      <w:pPr>
        <w:rPr>
          <w:rFonts w:ascii="Times New Roman" w:hAnsi="Times New Roman" w:cs="Times New Roman"/>
        </w:rPr>
      </w:pPr>
      <w:r>
        <w:rPr>
          <w:rFonts w:ascii="Times New Roman" w:hAnsi="Times New Roman" w:cs="Times New Roman"/>
        </w:rPr>
        <w:t xml:space="preserve">Consider a proposed test case that matches the base case but where the subscriber organization agrees to match the utility escalation rate (i.e. 2.00%) and the initial year discount is 25%, the NPV of the savings stream would be 47.495 cents/kWh, for a change of 23.34 cents per kWh.  Assuming 600 kW-dc of the 2 MW-dc array is dedicated to the LMI community, and that the array achieves 1,250 kWh/kWp per year, the LMI portion of the array would put out 750,000 kWh/year.  Based on the assumptions above, the total </w:t>
      </w:r>
      <w:r w:rsidR="00A10629">
        <w:rPr>
          <w:rFonts w:ascii="Times New Roman" w:hAnsi="Times New Roman" w:cs="Times New Roman"/>
        </w:rPr>
        <w:t xml:space="preserve">subscription </w:t>
      </w:r>
      <w:r>
        <w:rPr>
          <w:rFonts w:ascii="Times New Roman" w:hAnsi="Times New Roman" w:cs="Times New Roman"/>
        </w:rPr>
        <w:t>incentive would be $175,022 (750,000 kWh/year x $0.2334/kWh = $175,022).</w:t>
      </w:r>
    </w:p>
    <w:p w14:paraId="3618EC76" w14:textId="77777777" w:rsidR="002B0A6A" w:rsidRDefault="002B0A6A" w:rsidP="002B0A6A">
      <w:pPr>
        <w:rPr>
          <w:rFonts w:ascii="Times New Roman" w:hAnsi="Times New Roman" w:cs="Times New Roman"/>
        </w:rPr>
      </w:pPr>
      <w:r>
        <w:rPr>
          <w:rFonts w:ascii="Times New Roman" w:hAnsi="Times New Roman" w:cs="Times New Roman"/>
        </w:rPr>
        <w:t>Assumptions:</w:t>
      </w:r>
    </w:p>
    <w:p w14:paraId="7534357E" w14:textId="77777777" w:rsidR="002B0A6A" w:rsidRDefault="002B0A6A" w:rsidP="002B0A6A">
      <w:pPr>
        <w:rPr>
          <w:rFonts w:ascii="Times New Roman" w:hAnsi="Times New Roman" w:cs="Times New Roman"/>
        </w:rPr>
      </w:pPr>
      <w:r>
        <w:rPr>
          <w:rFonts w:ascii="Times New Roman" w:hAnsi="Times New Roman" w:cs="Times New Roman"/>
        </w:rPr>
        <w:t xml:space="preserve">The subscriber organization shall describe their time vs. cost table which shall be mapped into the Test Case model of the LMI PPA Incentive Calculator.  If a step-down model is used, the time vs. cost table shall be mapped into the Step-Down Case model of the LMI PPA Incentive Calculator.  </w:t>
      </w:r>
    </w:p>
    <w:p w14:paraId="6EF51FAD" w14:textId="77777777" w:rsidR="002B0A6A" w:rsidRDefault="002B0A6A" w:rsidP="002B0A6A">
      <w:pPr>
        <w:rPr>
          <w:rFonts w:ascii="Times New Roman" w:hAnsi="Times New Roman" w:cs="Times New Roman"/>
        </w:rPr>
      </w:pPr>
      <w:r>
        <w:rPr>
          <w:rFonts w:ascii="Times New Roman" w:hAnsi="Times New Roman" w:cs="Times New Roman"/>
        </w:rPr>
        <w:t xml:space="preserve">Incentive caps for step-down projects will be agreed upon on a case by case basis.  </w:t>
      </w:r>
    </w:p>
    <w:p w14:paraId="4CCD2842" w14:textId="3162B5D9" w:rsidR="002B0A6A" w:rsidRDefault="002B0A6A" w:rsidP="002B0A6A">
      <w:pPr>
        <w:rPr>
          <w:rFonts w:ascii="Times New Roman" w:eastAsiaTheme="minorEastAsia" w:hAnsi="Times New Roman" w:cs="Times New Roman"/>
        </w:rPr>
      </w:pPr>
      <w:r>
        <w:rPr>
          <w:rFonts w:ascii="Times New Roman" w:eastAsiaTheme="minorEastAsia" w:hAnsi="Times New Roman" w:cs="Times New Roman"/>
        </w:rPr>
        <w:t xml:space="preserve">Figure 1 provides a graphic of the residential cost of </w:t>
      </w:r>
      <w:r w:rsidR="00A10629">
        <w:rPr>
          <w:rFonts w:ascii="Times New Roman" w:eastAsiaTheme="minorEastAsia" w:hAnsi="Times New Roman" w:cs="Times New Roman"/>
        </w:rPr>
        <w:t>electricity to</w:t>
      </w:r>
      <w:r>
        <w:rPr>
          <w:rFonts w:ascii="Times New Roman" w:eastAsiaTheme="minorEastAsia" w:hAnsi="Times New Roman" w:cs="Times New Roman"/>
        </w:rPr>
        <w:t xml:space="preserve"> the average Maryland resident.</w:t>
      </w:r>
      <w:r>
        <w:rPr>
          <w:rStyle w:val="FootnoteReference"/>
          <w:rFonts w:eastAsiaTheme="minorEastAsia"/>
        </w:rPr>
        <w:footnoteReference w:id="5"/>
      </w:r>
      <w:r>
        <w:rPr>
          <w:rFonts w:ascii="Times New Roman" w:eastAsiaTheme="minorEastAsia" w:hAnsi="Times New Roman" w:cs="Times New Roman"/>
        </w:rPr>
        <w:t xml:space="preserve">  The absolute value of electricity in 2016 was about $0.14/kWh, but more important, the rate of growth was about 0.2868 cents per year, a rate of about 1.9%-2.0%.  The period of 2007-2012 was associated with the deregulation of the electric industry in Maryland and the economic instability in general.  The stable period since 2012 is increasing at $0.252/year or about 1.8%/year.  The subscription incentive will assume an increase in the Standard Offer Service (SOS) of 2%/year and an initial SOS cost of $0.1400/kWh.  </w:t>
      </w:r>
    </w:p>
    <w:p w14:paraId="758E41EB" w14:textId="485884C8" w:rsidR="002B0A6A" w:rsidRDefault="002B0A6A" w:rsidP="002B0A6A">
      <w:pPr>
        <w:keepNext/>
        <w:spacing w:after="0"/>
      </w:pPr>
      <w:r>
        <w:rPr>
          <w:noProof/>
        </w:rPr>
        <w:lastRenderedPageBreak/>
        <w:drawing>
          <wp:inline distT="0" distB="0" distL="0" distR="0" wp14:anchorId="2EE9CB9E" wp14:editId="05C09674">
            <wp:extent cx="4991100" cy="3171825"/>
            <wp:effectExtent l="0" t="0" r="0" b="9525"/>
            <wp:docPr id="2" name="Chart 2">
              <a:extLst xmlns:a="http://schemas.openxmlformats.org/drawingml/2006/main">
                <a:ext uri="{FF2B5EF4-FFF2-40B4-BE49-F238E27FC236}">
                  <a16:creationId xmlns:a16="http://schemas.microsoft.com/office/drawing/2014/main" id="{9FAC2316-19C5-4E1C-8EB2-60F6CE1FC1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83BB52" w14:textId="77777777" w:rsidR="002B0A6A" w:rsidRDefault="002B0A6A" w:rsidP="002B0A6A">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Residential cost of Electricity – Maryland</w:t>
      </w:r>
    </w:p>
    <w:p w14:paraId="71B628CE" w14:textId="77FA8370" w:rsidR="002B0A6A" w:rsidRDefault="002B0A6A" w:rsidP="002B0A6A">
      <w:pPr>
        <w:rPr>
          <w:rFonts w:ascii="Times New Roman" w:hAnsi="Times New Roman" w:cs="Times New Roman"/>
        </w:rPr>
      </w:pPr>
      <w:r>
        <w:rPr>
          <w:rFonts w:ascii="Times New Roman" w:hAnsi="Times New Roman" w:cs="Times New Roman"/>
        </w:rPr>
        <w:t xml:space="preserve">Normal PPA periods range between 15 and 25 years, with most in the residential sector being in the 20-year timeframe.  Many Solar City example problems found on the internet use a 2.9% escalator rate.  My discussion with NGOs and potential solar developers in the LMI space indicate a first year discount of 15%-20% under the SOS rate should be expected.  The PPA escalator rate is normally between 1 and 5%.  The actual rate can be adjusted up or down depending on the initial discount below/above </w:t>
      </w:r>
      <w:r w:rsidR="00A10629">
        <w:rPr>
          <w:rFonts w:ascii="Times New Roman" w:hAnsi="Times New Roman" w:cs="Times New Roman"/>
        </w:rPr>
        <w:t>the Standard Offer Service (</w:t>
      </w:r>
      <w:r>
        <w:rPr>
          <w:rFonts w:ascii="Times New Roman" w:hAnsi="Times New Roman" w:cs="Times New Roman"/>
        </w:rPr>
        <w:t>SOS</w:t>
      </w:r>
      <w:r w:rsidR="00A10629">
        <w:rPr>
          <w:rFonts w:ascii="Times New Roman" w:hAnsi="Times New Roman" w:cs="Times New Roman"/>
        </w:rPr>
        <w:t>) rate</w:t>
      </w:r>
      <w:r>
        <w:rPr>
          <w:rFonts w:ascii="Times New Roman" w:hAnsi="Times New Roman" w:cs="Times New Roman"/>
        </w:rPr>
        <w:t xml:space="preserve"> provided to the consumer.</w:t>
      </w:r>
      <w:r>
        <w:rPr>
          <w:rStyle w:val="FootnoteReference"/>
        </w:rPr>
        <w:footnoteReference w:id="6"/>
      </w:r>
      <w:r>
        <w:rPr>
          <w:rFonts w:ascii="Times New Roman" w:hAnsi="Times New Roman" w:cs="Times New Roman"/>
        </w:rPr>
        <w:t xml:space="preserve">  For the purpose of the FY </w:t>
      </w:r>
      <w:r w:rsidR="006F0206">
        <w:rPr>
          <w:rFonts w:ascii="Times New Roman" w:hAnsi="Times New Roman" w:cs="Times New Roman"/>
        </w:rPr>
        <w:t>20</w:t>
      </w:r>
      <w:r>
        <w:rPr>
          <w:rFonts w:ascii="Times New Roman" w:hAnsi="Times New Roman" w:cs="Times New Roman"/>
        </w:rPr>
        <w:t xml:space="preserve"> model it is assumed that the </w:t>
      </w:r>
      <w:r>
        <w:rPr>
          <w:rFonts w:ascii="Times New Roman" w:hAnsi="Times New Roman" w:cs="Times New Roman"/>
          <w:b/>
          <w:u w:val="single"/>
        </w:rPr>
        <w:t xml:space="preserve">first year discount is 15% below SOS </w:t>
      </w:r>
      <w:r>
        <w:rPr>
          <w:rFonts w:ascii="Times New Roman" w:hAnsi="Times New Roman" w:cs="Times New Roman"/>
        </w:rPr>
        <w:t xml:space="preserve">and that a </w:t>
      </w:r>
      <w:r>
        <w:rPr>
          <w:rFonts w:ascii="Times New Roman" w:hAnsi="Times New Roman" w:cs="Times New Roman"/>
          <w:b/>
          <w:u w:val="single"/>
        </w:rPr>
        <w:t>2.9% escalator rate</w:t>
      </w:r>
      <w:r>
        <w:rPr>
          <w:rFonts w:ascii="Times New Roman" w:hAnsi="Times New Roman" w:cs="Times New Roman"/>
        </w:rPr>
        <w:t xml:space="preserve"> is assigned by the project owner covering the </w:t>
      </w:r>
      <w:r>
        <w:rPr>
          <w:rFonts w:ascii="Times New Roman" w:hAnsi="Times New Roman" w:cs="Times New Roman"/>
          <w:b/>
          <w:u w:val="single"/>
        </w:rPr>
        <w:t>20-year period</w:t>
      </w:r>
      <w:r>
        <w:rPr>
          <w:rFonts w:ascii="Times New Roman" w:hAnsi="Times New Roman" w:cs="Times New Roman"/>
        </w:rPr>
        <w:t xml:space="preserve"> of the PPA.  This is the baseline product.  </w:t>
      </w:r>
    </w:p>
    <w:p w14:paraId="744855F4" w14:textId="77777777" w:rsidR="002B0A6A" w:rsidRDefault="002B0A6A" w:rsidP="002B0A6A">
      <w:pPr>
        <w:rPr>
          <w:rFonts w:ascii="Times New Roman" w:hAnsi="Times New Roman" w:cs="Times New Roman"/>
        </w:rPr>
      </w:pPr>
      <w:r>
        <w:rPr>
          <w:rFonts w:ascii="Times New Roman" w:hAnsi="Times New Roman" w:cs="Times New Roman"/>
        </w:rPr>
        <w:t xml:space="preserve">The discount rate is normally selected to account for the time value of money, and reflects the interest rate that the financier would consider reasonable to finance the project (often called the hurtle rate).  A value of 10% was selected for this model.  The discount rate is used when calculating net present value of streams of funding/cost, which is appropriate for calculation of the subscription incentive and the term incentive.  Given that the loan loss reserve funds only insure for a given year; they are not adjusted by the discount rate.  </w:t>
      </w:r>
    </w:p>
    <w:p w14:paraId="161659DE" w14:textId="39A261B5" w:rsidR="002B0A6A" w:rsidRDefault="002B0A6A" w:rsidP="002B0A6A">
      <w:pPr>
        <w:rPr>
          <w:rFonts w:ascii="Times New Roman" w:hAnsi="Times New Roman" w:cs="Times New Roman"/>
        </w:rPr>
      </w:pPr>
      <w:r>
        <w:rPr>
          <w:rFonts w:ascii="Times New Roman" w:hAnsi="Times New Roman" w:cs="Times New Roman"/>
        </w:rPr>
        <w:t xml:space="preserve"> The solar capacity factor of 1,250 kWh/kW installed is taken from PVWatts (a NREL calculator) and assumes a flat solar array</w:t>
      </w:r>
      <w:r w:rsidR="00A10629">
        <w:rPr>
          <w:rFonts w:ascii="Times New Roman" w:hAnsi="Times New Roman" w:cs="Times New Roman"/>
        </w:rPr>
        <w:t xml:space="preserve"> in Baltimore, Maryland</w:t>
      </w:r>
      <w:r>
        <w:rPr>
          <w:rFonts w:ascii="Times New Roman" w:hAnsi="Times New Roman" w:cs="Times New Roman"/>
        </w:rPr>
        <w:t xml:space="preserve">.  It also assumes the solar system will remain on-line for the entire year (i.e. not taken off-line for maintenance).  This number is reasonable.  </w:t>
      </w:r>
    </w:p>
    <w:p w14:paraId="72826699" w14:textId="77777777" w:rsidR="002B0A6A" w:rsidRDefault="002B0A6A" w:rsidP="002B0A6A">
      <w:pPr>
        <w:rPr>
          <w:rFonts w:ascii="Times New Roman" w:hAnsi="Times New Roman" w:cs="Times New Roman"/>
          <w:b/>
          <w:u w:val="single"/>
        </w:rPr>
      </w:pPr>
      <w:r>
        <w:rPr>
          <w:rFonts w:ascii="Times New Roman" w:hAnsi="Times New Roman" w:cs="Times New Roman"/>
          <w:b/>
          <w:u w:val="single"/>
        </w:rPr>
        <w:t>Term of Commitment Grant Incentive:</w:t>
      </w:r>
    </w:p>
    <w:p w14:paraId="0FA6EA54" w14:textId="32E71D93" w:rsidR="002B0A6A" w:rsidRDefault="002B0A6A" w:rsidP="002B0A6A">
      <w:pPr>
        <w:rPr>
          <w:rFonts w:ascii="Times New Roman" w:hAnsi="Times New Roman" w:cs="Times New Roman"/>
        </w:rPr>
      </w:pPr>
      <w:r>
        <w:rPr>
          <w:rFonts w:ascii="Times New Roman" w:hAnsi="Times New Roman" w:cs="Times New Roman"/>
        </w:rPr>
        <w:t xml:space="preserve">The incentive associated with the term of commitment that MEA offered in FY 18 will NOT be offered in </w:t>
      </w:r>
      <w:r w:rsidR="00A10629">
        <w:rPr>
          <w:rFonts w:ascii="Times New Roman" w:hAnsi="Times New Roman" w:cs="Times New Roman"/>
        </w:rPr>
        <w:t xml:space="preserve">the </w:t>
      </w:r>
      <w:r>
        <w:rPr>
          <w:rFonts w:ascii="Times New Roman" w:hAnsi="Times New Roman" w:cs="Times New Roman"/>
        </w:rPr>
        <w:t xml:space="preserve">FY </w:t>
      </w:r>
      <w:r w:rsidR="00A10629">
        <w:rPr>
          <w:rFonts w:ascii="Times New Roman" w:hAnsi="Times New Roman" w:cs="Times New Roman"/>
        </w:rPr>
        <w:t>20</w:t>
      </w:r>
      <w:r>
        <w:rPr>
          <w:rFonts w:ascii="Times New Roman" w:hAnsi="Times New Roman" w:cs="Times New Roman"/>
        </w:rPr>
        <w:t xml:space="preserve"> LMI-PPA Grant Program.  As described above, MEA has determined that it was not needed as </w:t>
      </w:r>
      <w:r>
        <w:rPr>
          <w:rFonts w:ascii="Times New Roman" w:hAnsi="Times New Roman" w:cs="Times New Roman"/>
        </w:rPr>
        <w:lastRenderedPageBreak/>
        <w:t xml:space="preserve">short term periods of commitment in LMI PPAs </w:t>
      </w:r>
      <w:r w:rsidR="00A10629">
        <w:rPr>
          <w:rFonts w:ascii="Times New Roman" w:hAnsi="Times New Roman" w:cs="Times New Roman"/>
        </w:rPr>
        <w:t xml:space="preserve">as they </w:t>
      </w:r>
      <w:r>
        <w:rPr>
          <w:rFonts w:ascii="Times New Roman" w:hAnsi="Times New Roman" w:cs="Times New Roman"/>
        </w:rPr>
        <w:t xml:space="preserve">were already being offered by multiple subscriber organizations.  </w:t>
      </w:r>
    </w:p>
    <w:p w14:paraId="11785DFA" w14:textId="77777777" w:rsidR="002B0A6A" w:rsidRDefault="002B0A6A" w:rsidP="002B0A6A">
      <w:pPr>
        <w:rPr>
          <w:rFonts w:ascii="Times New Roman" w:hAnsi="Times New Roman" w:cs="Times New Roman"/>
          <w:b/>
          <w:u w:val="single"/>
        </w:rPr>
      </w:pPr>
      <w:r>
        <w:rPr>
          <w:rFonts w:ascii="Times New Roman" w:hAnsi="Times New Roman" w:cs="Times New Roman"/>
          <w:b/>
          <w:u w:val="single"/>
        </w:rPr>
        <w:t>Guaranty Grant Program:</w:t>
      </w:r>
    </w:p>
    <w:p w14:paraId="51BA01E8" w14:textId="33DA7448" w:rsidR="002B0A6A" w:rsidRDefault="002B0A6A" w:rsidP="002B0A6A">
      <w:pPr>
        <w:rPr>
          <w:rFonts w:ascii="Times New Roman" w:hAnsi="Times New Roman" w:cs="Times New Roman"/>
        </w:rPr>
      </w:pPr>
      <w:r>
        <w:rPr>
          <w:rFonts w:ascii="Times New Roman" w:hAnsi="Times New Roman" w:cs="Times New Roman"/>
        </w:rPr>
        <w:t xml:space="preserve">In FY </w:t>
      </w:r>
      <w:r w:rsidR="001E6D9F">
        <w:rPr>
          <w:rFonts w:ascii="Times New Roman" w:hAnsi="Times New Roman" w:cs="Times New Roman"/>
        </w:rPr>
        <w:t>19</w:t>
      </w:r>
      <w:r>
        <w:rPr>
          <w:rFonts w:ascii="Times New Roman" w:hAnsi="Times New Roman" w:cs="Times New Roman"/>
        </w:rPr>
        <w:t xml:space="preserve">, the Guaranty Grant Program </w:t>
      </w:r>
      <w:r w:rsidR="001E6D9F">
        <w:rPr>
          <w:rFonts w:ascii="Times New Roman" w:hAnsi="Times New Roman" w:cs="Times New Roman"/>
        </w:rPr>
        <w:t>was</w:t>
      </w:r>
      <w:r>
        <w:rPr>
          <w:rFonts w:ascii="Times New Roman" w:hAnsi="Times New Roman" w:cs="Times New Roman"/>
        </w:rPr>
        <w:t xml:space="preserve"> amended to allow the grantee, the Climate Access Fund, to offer guarantee services to projects from Pilot Program years 1, 2 and 3.  In addition, MEA authorized the Climate Access Fund to modify its strategy to best support the mission of the grant program.  </w:t>
      </w:r>
    </w:p>
    <w:sectPr w:rsidR="002B0A6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31F6E" w14:textId="77777777" w:rsidR="00C115D1" w:rsidRDefault="00C115D1" w:rsidP="00C001AB">
      <w:pPr>
        <w:spacing w:after="0" w:line="240" w:lineRule="auto"/>
      </w:pPr>
      <w:r>
        <w:separator/>
      </w:r>
    </w:p>
  </w:endnote>
  <w:endnote w:type="continuationSeparator" w:id="0">
    <w:p w14:paraId="6308FD1E" w14:textId="77777777" w:rsidR="00C115D1" w:rsidRDefault="00C115D1" w:rsidP="00C0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221437"/>
      <w:docPartObj>
        <w:docPartGallery w:val="Page Numbers (Bottom of Page)"/>
        <w:docPartUnique/>
      </w:docPartObj>
    </w:sdtPr>
    <w:sdtEndPr>
      <w:rPr>
        <w:noProof/>
      </w:rPr>
    </w:sdtEndPr>
    <w:sdtContent>
      <w:p w14:paraId="082EA92E" w14:textId="7518719F" w:rsidR="00174226" w:rsidRDefault="00174226">
        <w:pPr>
          <w:pStyle w:val="Footer"/>
          <w:jc w:val="center"/>
        </w:pPr>
        <w:r>
          <w:fldChar w:fldCharType="begin"/>
        </w:r>
        <w:r>
          <w:instrText xml:space="preserve"> PAGE   \* MERGEFORMAT </w:instrText>
        </w:r>
        <w:r>
          <w:fldChar w:fldCharType="separate"/>
        </w:r>
        <w:r w:rsidR="006F0206">
          <w:rPr>
            <w:noProof/>
          </w:rPr>
          <w:t>1</w:t>
        </w:r>
        <w:r>
          <w:rPr>
            <w:noProof/>
          </w:rPr>
          <w:fldChar w:fldCharType="end"/>
        </w:r>
      </w:p>
    </w:sdtContent>
  </w:sdt>
  <w:p w14:paraId="5EA508C5" w14:textId="77777777" w:rsidR="00174226" w:rsidRDefault="00174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0BF14" w14:textId="77777777" w:rsidR="00C115D1" w:rsidRDefault="00C115D1" w:rsidP="00C001AB">
      <w:pPr>
        <w:spacing w:after="0" w:line="240" w:lineRule="auto"/>
      </w:pPr>
      <w:r>
        <w:separator/>
      </w:r>
    </w:p>
  </w:footnote>
  <w:footnote w:type="continuationSeparator" w:id="0">
    <w:p w14:paraId="2F15BE2D" w14:textId="77777777" w:rsidR="00C115D1" w:rsidRDefault="00C115D1" w:rsidP="00C001AB">
      <w:pPr>
        <w:spacing w:after="0" w:line="240" w:lineRule="auto"/>
      </w:pPr>
      <w:r>
        <w:continuationSeparator/>
      </w:r>
    </w:p>
  </w:footnote>
  <w:footnote w:id="1">
    <w:p w14:paraId="67E80310" w14:textId="77777777" w:rsidR="002B0A6A" w:rsidRDefault="002B0A6A" w:rsidP="002B0A6A">
      <w:pPr>
        <w:pStyle w:val="FootnoteText"/>
        <w:rPr>
          <w:lang w:val="en-US"/>
        </w:rPr>
      </w:pPr>
      <w:r>
        <w:rPr>
          <w:rStyle w:val="FootnoteReference"/>
        </w:rPr>
        <w:footnoteRef/>
      </w:r>
      <w:r>
        <w:t xml:space="preserve"> </w:t>
      </w:r>
      <w:hyperlink r:id="rId1" w:history="1">
        <w:r>
          <w:rPr>
            <w:rStyle w:val="Hyperlink"/>
            <w:rFonts w:eastAsiaTheme="majorEastAsia"/>
          </w:rPr>
          <w:t>http://www.psc.state.md.us/electricity/community-solar-pilot-program-frequently-asked-questions/</w:t>
        </w:r>
      </w:hyperlink>
      <w:r>
        <w:t xml:space="preserve"> </w:t>
      </w:r>
    </w:p>
  </w:footnote>
  <w:footnote w:id="2">
    <w:p w14:paraId="4ACA583A" w14:textId="77777777" w:rsidR="002B0A6A" w:rsidRDefault="002B0A6A" w:rsidP="002B0A6A">
      <w:pPr>
        <w:pStyle w:val="FootnoteText"/>
        <w:rPr>
          <w:lang w:val="en-US"/>
        </w:rPr>
      </w:pPr>
      <w:r>
        <w:rPr>
          <w:rStyle w:val="FootnoteReference"/>
        </w:rPr>
        <w:footnoteRef/>
      </w:r>
      <w:r>
        <w:t xml:space="preserve"> </w:t>
      </w:r>
      <w:r>
        <w:rPr>
          <w:lang w:val="en-US"/>
        </w:rPr>
        <w:t xml:space="preserve">Maryland has four major Investor Owned Utilities:  Potomac Edison (covering western Maryland), PEPCO (now owned by Exelon) covering Washington DC and much of two surrounding counties, Baltimore Gas and Electric Lighting (covering the greater Baltimore Area), and Delmarva Power and Light, which covers much, but not all, of the Eastern Shore of Maryland </w:t>
      </w:r>
    </w:p>
  </w:footnote>
  <w:footnote w:id="3">
    <w:p w14:paraId="4FA773A0" w14:textId="77777777" w:rsidR="002B0A6A" w:rsidRDefault="002B0A6A" w:rsidP="002B0A6A">
      <w:pPr>
        <w:pStyle w:val="FootnoteText"/>
        <w:rPr>
          <w:lang w:val="en-US"/>
        </w:rPr>
      </w:pPr>
      <w:r>
        <w:rPr>
          <w:rStyle w:val="FootnoteReference"/>
        </w:rPr>
        <w:footnoteRef/>
      </w:r>
      <w:r>
        <w:t xml:space="preserve"> COMAR 20.62.02.A(4)</w:t>
      </w:r>
    </w:p>
  </w:footnote>
  <w:footnote w:id="4">
    <w:p w14:paraId="660B90B2" w14:textId="77777777" w:rsidR="002B0A6A" w:rsidRDefault="002B0A6A" w:rsidP="002B0A6A">
      <w:pPr>
        <w:pStyle w:val="FootnoteText"/>
        <w:rPr>
          <w:lang w:val="en-US"/>
        </w:rPr>
      </w:pPr>
      <w:r>
        <w:rPr>
          <w:rStyle w:val="FootnoteReference"/>
        </w:rPr>
        <w:footnoteRef/>
      </w:r>
      <w:r>
        <w:t xml:space="preserve"> </w:t>
      </w:r>
      <w:r>
        <w:rPr>
          <w:lang w:val="en-US"/>
        </w:rPr>
        <w:t>Moderate income includes Maryland residents who earn &lt;80% of the median state income ($xxx,000); Low income includes Maryland households who earn less than the 175% of the federal LMI rate)</w:t>
      </w:r>
    </w:p>
  </w:footnote>
  <w:footnote w:id="5">
    <w:p w14:paraId="64BAF91E" w14:textId="77777777" w:rsidR="002B0A6A" w:rsidRDefault="002B0A6A" w:rsidP="002B0A6A">
      <w:pPr>
        <w:pStyle w:val="FootnoteText"/>
        <w:rPr>
          <w:lang w:val="en-US"/>
        </w:rPr>
      </w:pPr>
      <w:r>
        <w:rPr>
          <w:rStyle w:val="FootnoteReference"/>
        </w:rPr>
        <w:footnoteRef/>
      </w:r>
      <w:r>
        <w:t xml:space="preserve"> </w:t>
      </w:r>
      <w:r>
        <w:rPr>
          <w:lang w:val="en-US"/>
        </w:rPr>
        <w:t>Energy Information Agency website:  Average Price by State by Provider (EIA-861)  https://www.eia.gov/electricity/data/state/</w:t>
      </w:r>
    </w:p>
  </w:footnote>
  <w:footnote w:id="6">
    <w:p w14:paraId="73F3E8C9" w14:textId="77777777" w:rsidR="002B0A6A" w:rsidRDefault="002B0A6A" w:rsidP="002B0A6A">
      <w:pPr>
        <w:pStyle w:val="FootnoteText"/>
        <w:rPr>
          <w:lang w:val="en-US"/>
        </w:rPr>
      </w:pPr>
      <w:r>
        <w:rPr>
          <w:rStyle w:val="FootnoteReference"/>
        </w:rPr>
        <w:footnoteRef/>
      </w:r>
      <w:r>
        <w:t xml:space="preserve"> </w:t>
      </w:r>
      <w:r>
        <w:rPr>
          <w:lang w:val="en-US"/>
        </w:rPr>
        <w:t xml:space="preserve">In reality, the discount and escalator rates are adjusted to achieve the required internal rate of return (IRR) required of the financier.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52DF"/>
    <w:multiLevelType w:val="hybridMultilevel"/>
    <w:tmpl w:val="02BA1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C1A69"/>
    <w:multiLevelType w:val="hybridMultilevel"/>
    <w:tmpl w:val="DB34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162956"/>
    <w:multiLevelType w:val="hybridMultilevel"/>
    <w:tmpl w:val="0486C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7B18DE"/>
    <w:multiLevelType w:val="hybridMultilevel"/>
    <w:tmpl w:val="E41C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AB"/>
    <w:rsid w:val="0001269D"/>
    <w:rsid w:val="000162E1"/>
    <w:rsid w:val="00024CD1"/>
    <w:rsid w:val="00037108"/>
    <w:rsid w:val="00037B5A"/>
    <w:rsid w:val="00037E9C"/>
    <w:rsid w:val="000615E1"/>
    <w:rsid w:val="00091147"/>
    <w:rsid w:val="000A29BB"/>
    <w:rsid w:val="000A41A4"/>
    <w:rsid w:val="000B2B32"/>
    <w:rsid w:val="000C1675"/>
    <w:rsid w:val="000C190C"/>
    <w:rsid w:val="000F06EA"/>
    <w:rsid w:val="000F12C8"/>
    <w:rsid w:val="00174226"/>
    <w:rsid w:val="001C3E49"/>
    <w:rsid w:val="001E6D9F"/>
    <w:rsid w:val="002236E9"/>
    <w:rsid w:val="00241B2C"/>
    <w:rsid w:val="0028565A"/>
    <w:rsid w:val="002919DC"/>
    <w:rsid w:val="002B0A6A"/>
    <w:rsid w:val="002F4E3C"/>
    <w:rsid w:val="00301072"/>
    <w:rsid w:val="00334C1F"/>
    <w:rsid w:val="00336167"/>
    <w:rsid w:val="003614BE"/>
    <w:rsid w:val="00387654"/>
    <w:rsid w:val="003B07C8"/>
    <w:rsid w:val="003B522D"/>
    <w:rsid w:val="003C2A83"/>
    <w:rsid w:val="003C2B38"/>
    <w:rsid w:val="003C6187"/>
    <w:rsid w:val="00405E41"/>
    <w:rsid w:val="00443EB0"/>
    <w:rsid w:val="004613BE"/>
    <w:rsid w:val="004B2C09"/>
    <w:rsid w:val="00500D07"/>
    <w:rsid w:val="00536FE7"/>
    <w:rsid w:val="0055529C"/>
    <w:rsid w:val="00584180"/>
    <w:rsid w:val="005C358D"/>
    <w:rsid w:val="005D6D8C"/>
    <w:rsid w:val="006138C6"/>
    <w:rsid w:val="00692C5E"/>
    <w:rsid w:val="00696A1E"/>
    <w:rsid w:val="006A6A22"/>
    <w:rsid w:val="006E3D73"/>
    <w:rsid w:val="006F0206"/>
    <w:rsid w:val="006F2F7B"/>
    <w:rsid w:val="007013CC"/>
    <w:rsid w:val="0071448A"/>
    <w:rsid w:val="007257F3"/>
    <w:rsid w:val="007774A6"/>
    <w:rsid w:val="0078164C"/>
    <w:rsid w:val="00791AC7"/>
    <w:rsid w:val="0079761E"/>
    <w:rsid w:val="007B14E1"/>
    <w:rsid w:val="007F1267"/>
    <w:rsid w:val="007F6EBC"/>
    <w:rsid w:val="007F759A"/>
    <w:rsid w:val="0084694D"/>
    <w:rsid w:val="00850479"/>
    <w:rsid w:val="0088493E"/>
    <w:rsid w:val="008B6444"/>
    <w:rsid w:val="0091087C"/>
    <w:rsid w:val="00933D45"/>
    <w:rsid w:val="00962A79"/>
    <w:rsid w:val="00991FFB"/>
    <w:rsid w:val="00995703"/>
    <w:rsid w:val="00996CEE"/>
    <w:rsid w:val="009B13E4"/>
    <w:rsid w:val="009C04F8"/>
    <w:rsid w:val="009D249F"/>
    <w:rsid w:val="00A00F2A"/>
    <w:rsid w:val="00A10629"/>
    <w:rsid w:val="00A2541C"/>
    <w:rsid w:val="00A452A5"/>
    <w:rsid w:val="00AA3AF9"/>
    <w:rsid w:val="00AB16BF"/>
    <w:rsid w:val="00AD63DE"/>
    <w:rsid w:val="00AF66B8"/>
    <w:rsid w:val="00B14861"/>
    <w:rsid w:val="00B171E8"/>
    <w:rsid w:val="00B72172"/>
    <w:rsid w:val="00B76639"/>
    <w:rsid w:val="00B81E9C"/>
    <w:rsid w:val="00B93F27"/>
    <w:rsid w:val="00BC0BC9"/>
    <w:rsid w:val="00BD76B8"/>
    <w:rsid w:val="00BE2FBD"/>
    <w:rsid w:val="00C001AB"/>
    <w:rsid w:val="00C115D1"/>
    <w:rsid w:val="00C212FE"/>
    <w:rsid w:val="00C320EB"/>
    <w:rsid w:val="00C66F58"/>
    <w:rsid w:val="00CC05D3"/>
    <w:rsid w:val="00CD23D2"/>
    <w:rsid w:val="00D27223"/>
    <w:rsid w:val="00D34CD8"/>
    <w:rsid w:val="00D46BC4"/>
    <w:rsid w:val="00DF1B4B"/>
    <w:rsid w:val="00E8355F"/>
    <w:rsid w:val="00E96576"/>
    <w:rsid w:val="00EA1CA3"/>
    <w:rsid w:val="00EA6148"/>
    <w:rsid w:val="00EC46EE"/>
    <w:rsid w:val="00EF12D1"/>
    <w:rsid w:val="00FA493E"/>
    <w:rsid w:val="00FA7765"/>
    <w:rsid w:val="00FB4738"/>
    <w:rsid w:val="00FF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8FEA"/>
  <w15:chartTrackingRefBased/>
  <w15:docId w15:val="{AD0597D0-546D-406B-B870-119855DD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4C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01AB"/>
    <w:rPr>
      <w:color w:val="0000FF"/>
      <w:u w:val="single"/>
    </w:rPr>
  </w:style>
  <w:style w:type="paragraph" w:styleId="FootnoteText">
    <w:name w:val="footnote text"/>
    <w:basedOn w:val="Normal"/>
    <w:link w:val="FootnoteTextChar"/>
    <w:semiHidden/>
    <w:rsid w:val="00C001AB"/>
    <w:pPr>
      <w:spacing w:after="0" w:line="240" w:lineRule="auto"/>
    </w:pPr>
    <w:rPr>
      <w:rFonts w:ascii="Times New Roman" w:eastAsia="Times New Roman" w:hAnsi="Times New Roman" w:cs="Times New Roman"/>
      <w:sz w:val="20"/>
      <w:szCs w:val="20"/>
      <w:lang w:val="de-DE" w:eastAsia="de-DE"/>
    </w:rPr>
  </w:style>
  <w:style w:type="character" w:customStyle="1" w:styleId="FootnoteTextChar">
    <w:name w:val="Footnote Text Char"/>
    <w:basedOn w:val="DefaultParagraphFont"/>
    <w:link w:val="FootnoteText"/>
    <w:semiHidden/>
    <w:rsid w:val="00C001AB"/>
    <w:rPr>
      <w:rFonts w:ascii="Times New Roman" w:eastAsia="Times New Roman" w:hAnsi="Times New Roman" w:cs="Times New Roman"/>
      <w:sz w:val="20"/>
      <w:szCs w:val="20"/>
      <w:lang w:val="de-DE" w:eastAsia="de-DE"/>
    </w:rPr>
  </w:style>
  <w:style w:type="character" w:styleId="FootnoteReference">
    <w:name w:val="footnote reference"/>
    <w:basedOn w:val="DefaultParagraphFont"/>
    <w:semiHidden/>
    <w:rsid w:val="00C001AB"/>
    <w:rPr>
      <w:vertAlign w:val="superscript"/>
    </w:rPr>
  </w:style>
  <w:style w:type="paragraph" w:styleId="ListParagraph">
    <w:name w:val="List Paragraph"/>
    <w:basedOn w:val="Normal"/>
    <w:uiPriority w:val="34"/>
    <w:qFormat/>
    <w:rsid w:val="00FF7D9E"/>
    <w:pPr>
      <w:ind w:left="720"/>
      <w:contextualSpacing/>
    </w:pPr>
  </w:style>
  <w:style w:type="character" w:styleId="PlaceholderText">
    <w:name w:val="Placeholder Text"/>
    <w:basedOn w:val="DefaultParagraphFont"/>
    <w:uiPriority w:val="99"/>
    <w:semiHidden/>
    <w:rsid w:val="006F2F7B"/>
    <w:rPr>
      <w:color w:val="808080"/>
    </w:rPr>
  </w:style>
  <w:style w:type="character" w:customStyle="1" w:styleId="Heading1Char">
    <w:name w:val="Heading 1 Char"/>
    <w:basedOn w:val="DefaultParagraphFont"/>
    <w:link w:val="Heading1"/>
    <w:uiPriority w:val="9"/>
    <w:rsid w:val="00D34CD8"/>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3614BE"/>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C32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0EB"/>
    <w:rPr>
      <w:rFonts w:ascii="Segoe UI" w:hAnsi="Segoe UI" w:cs="Segoe UI"/>
      <w:sz w:val="18"/>
      <w:szCs w:val="18"/>
    </w:rPr>
  </w:style>
  <w:style w:type="character" w:styleId="CommentReference">
    <w:name w:val="annotation reference"/>
    <w:basedOn w:val="DefaultParagraphFont"/>
    <w:uiPriority w:val="99"/>
    <w:semiHidden/>
    <w:unhideWhenUsed/>
    <w:rsid w:val="00EC46EE"/>
    <w:rPr>
      <w:sz w:val="16"/>
      <w:szCs w:val="16"/>
    </w:rPr>
  </w:style>
  <w:style w:type="paragraph" w:styleId="CommentText">
    <w:name w:val="annotation text"/>
    <w:basedOn w:val="Normal"/>
    <w:link w:val="CommentTextChar"/>
    <w:uiPriority w:val="99"/>
    <w:semiHidden/>
    <w:unhideWhenUsed/>
    <w:rsid w:val="00EC46EE"/>
    <w:pPr>
      <w:spacing w:line="240" w:lineRule="auto"/>
    </w:pPr>
    <w:rPr>
      <w:sz w:val="20"/>
      <w:szCs w:val="20"/>
    </w:rPr>
  </w:style>
  <w:style w:type="character" w:customStyle="1" w:styleId="CommentTextChar">
    <w:name w:val="Comment Text Char"/>
    <w:basedOn w:val="DefaultParagraphFont"/>
    <w:link w:val="CommentText"/>
    <w:uiPriority w:val="99"/>
    <w:semiHidden/>
    <w:rsid w:val="00EC46EE"/>
    <w:rPr>
      <w:sz w:val="20"/>
      <w:szCs w:val="20"/>
    </w:rPr>
  </w:style>
  <w:style w:type="paragraph" w:styleId="CommentSubject">
    <w:name w:val="annotation subject"/>
    <w:basedOn w:val="CommentText"/>
    <w:next w:val="CommentText"/>
    <w:link w:val="CommentSubjectChar"/>
    <w:uiPriority w:val="99"/>
    <w:semiHidden/>
    <w:unhideWhenUsed/>
    <w:rsid w:val="00EC46EE"/>
    <w:rPr>
      <w:b/>
      <w:bCs/>
    </w:rPr>
  </w:style>
  <w:style w:type="character" w:customStyle="1" w:styleId="CommentSubjectChar">
    <w:name w:val="Comment Subject Char"/>
    <w:basedOn w:val="CommentTextChar"/>
    <w:link w:val="CommentSubject"/>
    <w:uiPriority w:val="99"/>
    <w:semiHidden/>
    <w:rsid w:val="00EC46EE"/>
    <w:rPr>
      <w:b/>
      <w:bCs/>
      <w:sz w:val="20"/>
      <w:szCs w:val="20"/>
    </w:rPr>
  </w:style>
  <w:style w:type="paragraph" w:styleId="Header">
    <w:name w:val="header"/>
    <w:basedOn w:val="Normal"/>
    <w:link w:val="HeaderChar"/>
    <w:uiPriority w:val="99"/>
    <w:unhideWhenUsed/>
    <w:rsid w:val="00174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226"/>
  </w:style>
  <w:style w:type="paragraph" w:styleId="Footer">
    <w:name w:val="footer"/>
    <w:basedOn w:val="Normal"/>
    <w:link w:val="FooterChar"/>
    <w:uiPriority w:val="99"/>
    <w:unhideWhenUsed/>
    <w:rsid w:val="00174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9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www.psc.state.md.us/electricity/community-solar-pilot-program-frequently-asked-questions/"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Residential Cost of Electricity - Maryland</a:t>
            </a:r>
          </a:p>
        </c:rich>
      </c:tx>
      <c:layout>
        <c:manualLayout>
          <c:xMode val="edge"/>
          <c:yMode val="edge"/>
          <c:x val="0.19868044619422573"/>
          <c:y val="4.629629629629629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v>Electricity Cost (cents/kWh)</c:v>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1"/>
            <c:trendlineLbl>
              <c:layout>
                <c:manualLayout>
                  <c:x val="6.1998370893293513E-2"/>
                  <c:y val="-6.4028091642003959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'[Maryland Average_retail_price_of_electricity (1).xlsm]Full Service Providers'!$K$3:$K$29</c:f>
              <c:numCache>
                <c:formatCode>General</c:formatCode>
                <c:ptCount val="27"/>
                <c:pt idx="0">
                  <c:v>2016</c:v>
                </c:pt>
                <c:pt idx="1">
                  <c:v>2015</c:v>
                </c:pt>
                <c:pt idx="2">
                  <c:v>2014</c:v>
                </c:pt>
                <c:pt idx="3">
                  <c:v>2013</c:v>
                </c:pt>
                <c:pt idx="4">
                  <c:v>2012</c:v>
                </c:pt>
                <c:pt idx="5">
                  <c:v>2011</c:v>
                </c:pt>
                <c:pt idx="6">
                  <c:v>2010</c:v>
                </c:pt>
                <c:pt idx="7">
                  <c:v>2009</c:v>
                </c:pt>
                <c:pt idx="8">
                  <c:v>2008</c:v>
                </c:pt>
                <c:pt idx="9">
                  <c:v>2007</c:v>
                </c:pt>
                <c:pt idx="10">
                  <c:v>2006</c:v>
                </c:pt>
                <c:pt idx="11">
                  <c:v>2005</c:v>
                </c:pt>
                <c:pt idx="12">
                  <c:v>2004</c:v>
                </c:pt>
                <c:pt idx="13">
                  <c:v>2003</c:v>
                </c:pt>
                <c:pt idx="14">
                  <c:v>2002</c:v>
                </c:pt>
                <c:pt idx="15">
                  <c:v>2001</c:v>
                </c:pt>
                <c:pt idx="16">
                  <c:v>2000</c:v>
                </c:pt>
                <c:pt idx="17">
                  <c:v>1999</c:v>
                </c:pt>
                <c:pt idx="18">
                  <c:v>1998</c:v>
                </c:pt>
                <c:pt idx="19">
                  <c:v>1997</c:v>
                </c:pt>
                <c:pt idx="20">
                  <c:v>1996</c:v>
                </c:pt>
                <c:pt idx="21">
                  <c:v>1995</c:v>
                </c:pt>
                <c:pt idx="22">
                  <c:v>1994</c:v>
                </c:pt>
                <c:pt idx="23">
                  <c:v>1993</c:v>
                </c:pt>
                <c:pt idx="24">
                  <c:v>1992</c:v>
                </c:pt>
                <c:pt idx="25">
                  <c:v>1991</c:v>
                </c:pt>
                <c:pt idx="26">
                  <c:v>1990</c:v>
                </c:pt>
              </c:numCache>
            </c:numRef>
          </c:xVal>
          <c:yVal>
            <c:numRef>
              <c:f>'[Maryland Average_retail_price_of_electricity (1).xlsm]Full Service Providers'!$L$3:$L$29</c:f>
              <c:numCache>
                <c:formatCode>General</c:formatCode>
                <c:ptCount val="27"/>
                <c:pt idx="0">
                  <c:v>13.92</c:v>
                </c:pt>
                <c:pt idx="1">
                  <c:v>13.43</c:v>
                </c:pt>
                <c:pt idx="2">
                  <c:v>13.28</c:v>
                </c:pt>
                <c:pt idx="3">
                  <c:v>13.19</c:v>
                </c:pt>
                <c:pt idx="4">
                  <c:v>12.78</c:v>
                </c:pt>
                <c:pt idx="5">
                  <c:v>13.29</c:v>
                </c:pt>
                <c:pt idx="6">
                  <c:v>14.35</c:v>
                </c:pt>
                <c:pt idx="7">
                  <c:v>14.95</c:v>
                </c:pt>
                <c:pt idx="8">
                  <c:v>13.78</c:v>
                </c:pt>
                <c:pt idx="9">
                  <c:v>11.87</c:v>
                </c:pt>
                <c:pt idx="10">
                  <c:v>9.69</c:v>
                </c:pt>
                <c:pt idx="11">
                  <c:v>8.44</c:v>
                </c:pt>
                <c:pt idx="12">
                  <c:v>7.78</c:v>
                </c:pt>
                <c:pt idx="13">
                  <c:v>7.72</c:v>
                </c:pt>
                <c:pt idx="14">
                  <c:v>7.73</c:v>
                </c:pt>
                <c:pt idx="15">
                  <c:v>7.66</c:v>
                </c:pt>
                <c:pt idx="16">
                  <c:v>7.96</c:v>
                </c:pt>
                <c:pt idx="17">
                  <c:v>8.39</c:v>
                </c:pt>
                <c:pt idx="18">
                  <c:v>8.44</c:v>
                </c:pt>
                <c:pt idx="19">
                  <c:v>8.33</c:v>
                </c:pt>
                <c:pt idx="20">
                  <c:v>8.26</c:v>
                </c:pt>
                <c:pt idx="21">
                  <c:v>8.43</c:v>
                </c:pt>
                <c:pt idx="22">
                  <c:v>8.39</c:v>
                </c:pt>
                <c:pt idx="23">
                  <c:v>8.2100000000000009</c:v>
                </c:pt>
                <c:pt idx="24">
                  <c:v>7.97</c:v>
                </c:pt>
                <c:pt idx="25">
                  <c:v>7.9</c:v>
                </c:pt>
                <c:pt idx="26">
                  <c:v>7.22</c:v>
                </c:pt>
              </c:numCache>
            </c:numRef>
          </c:yVal>
          <c:smooth val="1"/>
          <c:extLst>
            <c:ext xmlns:c16="http://schemas.microsoft.com/office/drawing/2014/chart" uri="{C3380CC4-5D6E-409C-BE32-E72D297353CC}">
              <c16:uniqueId val="{00000000-EA08-4041-9AF0-81B0546D897E}"/>
            </c:ext>
          </c:extLst>
        </c:ser>
        <c:dLbls>
          <c:showLegendKey val="0"/>
          <c:showVal val="0"/>
          <c:showCatName val="0"/>
          <c:showSerName val="0"/>
          <c:showPercent val="0"/>
          <c:showBubbleSize val="0"/>
        </c:dLbls>
        <c:axId val="498234736"/>
        <c:axId val="498232440"/>
      </c:scatterChart>
      <c:valAx>
        <c:axId val="4982347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a:t>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232440"/>
        <c:crosses val="autoZero"/>
        <c:crossBetween val="midCat"/>
      </c:valAx>
      <c:valAx>
        <c:axId val="498232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a:t>Cents per kWh</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23473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9AEFD1AE4CB84CA5E888638245D7B5" ma:contentTypeVersion="2" ma:contentTypeDescription="Create a new document." ma:contentTypeScope="" ma:versionID="4934fd2055dffb1d55477fd9030a4fb6">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5B7A8-4EBC-4169-8CEC-6DA3D0839731}"/>
</file>

<file path=customXml/itemProps2.xml><?xml version="1.0" encoding="utf-8"?>
<ds:datastoreItem xmlns:ds="http://schemas.openxmlformats.org/officeDocument/2006/customXml" ds:itemID="{2CC3A38D-6AFD-4C7E-A487-B710A6C52897}"/>
</file>

<file path=customXml/itemProps3.xml><?xml version="1.0" encoding="utf-8"?>
<ds:datastoreItem xmlns:ds="http://schemas.openxmlformats.org/officeDocument/2006/customXml" ds:itemID="{80507960-0A37-489F-B6BC-CB79E11A5981}"/>
</file>

<file path=customXml/itemProps4.xml><?xml version="1.0" encoding="utf-8"?>
<ds:datastoreItem xmlns:ds="http://schemas.openxmlformats.org/officeDocument/2006/customXml" ds:itemID="{5AE68088-37D8-432E-AF8C-135F4E2D96FB}"/>
</file>

<file path=docProps/app.xml><?xml version="1.0" encoding="utf-8"?>
<Properties xmlns="http://schemas.openxmlformats.org/officeDocument/2006/extended-properties" xmlns:vt="http://schemas.openxmlformats.org/officeDocument/2006/docPropsVTypes">
  <Template>Normal.dotm</Template>
  <TotalTime>0</TotalTime>
  <Pages>6</Pages>
  <Words>2348</Words>
  <Characters>13388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Comis</dc:creator>
  <cp:keywords/>
  <dc:description/>
  <cp:lastModifiedBy>Windows User</cp:lastModifiedBy>
  <cp:revision>2</cp:revision>
  <cp:lastPrinted>2018-03-29T20:18:00Z</cp:lastPrinted>
  <dcterms:created xsi:type="dcterms:W3CDTF">2019-06-29T23:09:00Z</dcterms:created>
  <dcterms:modified xsi:type="dcterms:W3CDTF">2019-06-29T23:09:00Z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0x010100B49AEFD1AE4CB84CA5E888638245D7B5</vt:lpwstr>
  </property>
</Properties>
</file>