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99A0D0" w14:textId="77777777" w:rsidR="00162347" w:rsidRDefault="006D543F">
      <w:pPr>
        <w:spacing w:after="0" w:line="240" w:lineRule="auto"/>
        <w:rPr>
          <w:b/>
          <w:sz w:val="44"/>
          <w:szCs w:val="44"/>
        </w:rPr>
      </w:pPr>
      <w:r>
        <w:rPr>
          <w:b/>
          <w:noProof/>
          <w:sz w:val="44"/>
          <w:szCs w:val="44"/>
        </w:rPr>
        <w:drawing>
          <wp:anchor distT="0" distB="0" distL="114300" distR="114300" simplePos="0" relativeHeight="251658240" behindDoc="0" locked="0" layoutInCell="1" hidden="0" allowOverlap="1" wp14:anchorId="53951CAC" wp14:editId="105498CB">
            <wp:simplePos x="0" y="0"/>
            <wp:positionH relativeFrom="margin">
              <wp:posOffset>0</wp:posOffset>
            </wp:positionH>
            <wp:positionV relativeFrom="page">
              <wp:posOffset>182880</wp:posOffset>
            </wp:positionV>
            <wp:extent cx="2766060" cy="1112520"/>
            <wp:effectExtent l="0" t="0" r="0" b="0"/>
            <wp:wrapSquare wrapText="bothSides" distT="0" distB="0" distL="114300" distR="114300"/>
            <wp:docPr id="1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srcRect l="1111" r="1111"/>
                    <a:stretch>
                      <a:fillRect/>
                    </a:stretch>
                  </pic:blipFill>
                  <pic:spPr>
                    <a:xfrm>
                      <a:off x="0" y="0"/>
                      <a:ext cx="2766060" cy="1112520"/>
                    </a:xfrm>
                    <a:prstGeom prst="rect">
                      <a:avLst/>
                    </a:prstGeom>
                    <a:ln/>
                  </pic:spPr>
                </pic:pic>
              </a:graphicData>
            </a:graphic>
            <wp14:sizeRelH relativeFrom="margin">
              <wp14:pctWidth>0</wp14:pctWidth>
            </wp14:sizeRelH>
            <wp14:sizeRelV relativeFrom="margin">
              <wp14:pctHeight>0</wp14:pctHeight>
            </wp14:sizeRelV>
          </wp:anchor>
        </w:drawing>
      </w:r>
    </w:p>
    <w:p w14:paraId="3FBB03AF" w14:textId="77777777" w:rsidR="00162347" w:rsidRDefault="00162347">
      <w:pPr>
        <w:spacing w:after="0" w:line="240" w:lineRule="auto"/>
        <w:rPr>
          <w:b/>
          <w:sz w:val="40"/>
          <w:szCs w:val="40"/>
        </w:rPr>
      </w:pPr>
    </w:p>
    <w:p w14:paraId="04892C4A" w14:textId="77777777" w:rsidR="00162347" w:rsidRDefault="006D543F">
      <w:pPr>
        <w:spacing w:after="0" w:line="240" w:lineRule="auto"/>
        <w:rPr>
          <w:b/>
          <w:sz w:val="40"/>
          <w:szCs w:val="40"/>
        </w:rPr>
      </w:pPr>
      <w:r>
        <w:rPr>
          <w:b/>
          <w:sz w:val="40"/>
          <w:szCs w:val="40"/>
        </w:rPr>
        <w:t>Maryland Smart Energy Communities Program</w:t>
      </w:r>
    </w:p>
    <w:p w14:paraId="1D74D2F3" w14:textId="77777777" w:rsidR="00162347" w:rsidRDefault="006D543F">
      <w:pPr>
        <w:spacing w:line="240" w:lineRule="auto"/>
        <w:rPr>
          <w:b/>
          <w:sz w:val="40"/>
          <w:szCs w:val="40"/>
        </w:rPr>
      </w:pPr>
      <w:r>
        <w:rPr>
          <w:b/>
          <w:sz w:val="40"/>
          <w:szCs w:val="40"/>
        </w:rPr>
        <w:t>Deadlines for FY2021</w:t>
      </w:r>
    </w:p>
    <w:p w14:paraId="25CD735E" w14:textId="77777777" w:rsidR="00162347" w:rsidRDefault="006D543F">
      <w:pPr>
        <w:rPr>
          <w:b/>
          <w:sz w:val="36"/>
          <w:szCs w:val="36"/>
        </w:rPr>
      </w:pPr>
      <w:r>
        <w:rPr>
          <w:sz w:val="24"/>
          <w:szCs w:val="24"/>
        </w:rPr>
        <w:t>The expected deadlines for the MSEC FY2021 grant program are listed below.  Requests for extensions, if necessary, must be sent to MEA at least one month prior to the relevant deadline.  Extensions will be considered on a case-by-case basis.  Failure to me</w:t>
      </w:r>
      <w:r>
        <w:rPr>
          <w:sz w:val="24"/>
          <w:szCs w:val="24"/>
        </w:rPr>
        <w:t>et the deadlines outlined in the grant agreement may result in cancellation of the grant.</w:t>
      </w:r>
    </w:p>
    <w:p w14:paraId="55CFB4BD" w14:textId="77777777" w:rsidR="00162347" w:rsidRDefault="006D543F">
      <w:pPr>
        <w:spacing w:after="60"/>
        <w:rPr>
          <w:sz w:val="24"/>
          <w:szCs w:val="24"/>
        </w:rPr>
      </w:pPr>
      <w:r>
        <w:rPr>
          <w:noProof/>
        </w:rPr>
        <mc:AlternateContent>
          <mc:Choice Requires="wpg">
            <w:drawing>
              <wp:anchor distT="0" distB="0" distL="114300" distR="114300" simplePos="0" relativeHeight="251659264" behindDoc="0" locked="0" layoutInCell="1" hidden="0" allowOverlap="1" wp14:anchorId="4D9A9E15" wp14:editId="3FAF6D43">
                <wp:simplePos x="0" y="0"/>
                <wp:positionH relativeFrom="column">
                  <wp:posOffset>1</wp:posOffset>
                </wp:positionH>
                <wp:positionV relativeFrom="paragraph">
                  <wp:posOffset>0</wp:posOffset>
                </wp:positionV>
                <wp:extent cx="6848475" cy="19050"/>
                <wp:effectExtent l="0" t="0" r="0" b="0"/>
                <wp:wrapNone/>
                <wp:docPr id="12" name="Straight Arrow Connector 12"/>
                <wp:cNvGraphicFramePr/>
                <a:graphic xmlns:a="http://schemas.openxmlformats.org/drawingml/2006/main">
                  <a:graphicData uri="http://schemas.microsoft.com/office/word/2010/wordprocessingShape">
                    <wps:wsp>
                      <wps:cNvCnPr/>
                      <wps:spPr>
                        <a:xfrm>
                          <a:off x="1931288" y="3780000"/>
                          <a:ext cx="6829425" cy="0"/>
                        </a:xfrm>
                        <a:prstGeom prst="straightConnector1">
                          <a:avLst/>
                        </a:prstGeom>
                        <a:noFill/>
                        <a:ln w="9525" cap="flat" cmpd="sng">
                          <a:solidFill>
                            <a:srgbClr val="0B5394"/>
                          </a:solidFill>
                          <a:prstDash val="solid"/>
                          <a:miter lim="800000"/>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6848475" cy="19050"/>
                <wp:effectExtent b="0" l="0" r="0" t="0"/>
                <wp:wrapNone/>
                <wp:docPr id="12" name="image1.png"/>
                <a:graphic>
                  <a:graphicData uri="http://schemas.openxmlformats.org/drawingml/2006/picture">
                    <pic:pic>
                      <pic:nvPicPr>
                        <pic:cNvPr id="0" name="image1.png"/>
                        <pic:cNvPicPr preferRelativeResize="0"/>
                      </pic:nvPicPr>
                      <pic:blipFill>
                        <a:blip r:embed="rId8"/>
                        <a:srcRect/>
                        <a:stretch>
                          <a:fillRect/>
                        </a:stretch>
                      </pic:blipFill>
                      <pic:spPr>
                        <a:xfrm>
                          <a:off x="0" y="0"/>
                          <a:ext cx="6848475" cy="19050"/>
                        </a:xfrm>
                        <a:prstGeom prst="rect"/>
                        <a:ln/>
                      </pic:spPr>
                    </pic:pic>
                  </a:graphicData>
                </a:graphic>
              </wp:anchor>
            </w:drawing>
          </mc:Fallback>
        </mc:AlternateContent>
      </w:r>
    </w:p>
    <w:p w14:paraId="1C559D77" w14:textId="77777777" w:rsidR="00162347" w:rsidRDefault="006D543F">
      <w:pPr>
        <w:spacing w:after="60"/>
        <w:rPr>
          <w:b/>
          <w:sz w:val="28"/>
          <w:szCs w:val="28"/>
          <w:u w:val="single"/>
        </w:rPr>
      </w:pPr>
      <w:r>
        <w:rPr>
          <w:b/>
          <w:sz w:val="28"/>
          <w:szCs w:val="28"/>
          <w:u w:val="single"/>
        </w:rPr>
        <w:t>Grant Applications Due – November 13, 2020</w:t>
      </w:r>
    </w:p>
    <w:p w14:paraId="1B8699CD" w14:textId="77777777" w:rsidR="00162347" w:rsidRDefault="006D543F">
      <w:pPr>
        <w:spacing w:after="60"/>
        <w:rPr>
          <w:sz w:val="24"/>
          <w:szCs w:val="24"/>
        </w:rPr>
      </w:pPr>
      <w:r>
        <w:rPr>
          <w:sz w:val="24"/>
          <w:szCs w:val="24"/>
        </w:rPr>
        <w:t xml:space="preserve">The completed grant application must be </w:t>
      </w:r>
      <w:r>
        <w:rPr>
          <w:sz w:val="24"/>
          <w:szCs w:val="24"/>
          <w:u w:val="single"/>
        </w:rPr>
        <w:t>received</w:t>
      </w:r>
      <w:r>
        <w:rPr>
          <w:sz w:val="24"/>
          <w:szCs w:val="24"/>
        </w:rPr>
        <w:t xml:space="preserve"> by MEA before November 13th, 2020 at 5:00 PM Eastern time.  Applications</w:t>
      </w:r>
      <w:r>
        <w:rPr>
          <w:sz w:val="24"/>
          <w:szCs w:val="24"/>
        </w:rPr>
        <w:t xml:space="preserve"> must be complete when first submitted, and proposals from existing communities should include detailed calculations of expected energy reduction and cost savings. </w:t>
      </w:r>
    </w:p>
    <w:p w14:paraId="15C71076" w14:textId="77777777" w:rsidR="00162347" w:rsidRDefault="00162347">
      <w:pPr>
        <w:spacing w:after="60"/>
        <w:rPr>
          <w:sz w:val="24"/>
          <w:szCs w:val="24"/>
        </w:rPr>
      </w:pPr>
    </w:p>
    <w:p w14:paraId="10CF412F" w14:textId="77777777" w:rsidR="00162347" w:rsidRDefault="006D543F">
      <w:pPr>
        <w:spacing w:after="60"/>
        <w:rPr>
          <w:b/>
          <w:sz w:val="28"/>
          <w:szCs w:val="28"/>
          <w:u w:val="single"/>
        </w:rPr>
      </w:pPr>
      <w:r>
        <w:rPr>
          <w:b/>
          <w:sz w:val="28"/>
          <w:szCs w:val="28"/>
          <w:u w:val="single"/>
        </w:rPr>
        <w:t>Grant Awards Announced – late January 2021/early February 2021</w:t>
      </w:r>
    </w:p>
    <w:p w14:paraId="7A045208" w14:textId="77777777" w:rsidR="00162347" w:rsidRDefault="006D543F">
      <w:pPr>
        <w:spacing w:after="60"/>
        <w:rPr>
          <w:sz w:val="24"/>
          <w:szCs w:val="24"/>
        </w:rPr>
      </w:pPr>
      <w:r>
        <w:rPr>
          <w:sz w:val="24"/>
          <w:szCs w:val="24"/>
        </w:rPr>
        <w:t>MEA anticipates notifying a</w:t>
      </w:r>
      <w:r>
        <w:rPr>
          <w:sz w:val="24"/>
          <w:szCs w:val="24"/>
        </w:rPr>
        <w:t>pplicants of its decisions by late January 2021/early February 2021.</w:t>
      </w:r>
    </w:p>
    <w:p w14:paraId="12CBF252" w14:textId="77777777" w:rsidR="00162347" w:rsidRDefault="00162347">
      <w:pPr>
        <w:spacing w:after="60"/>
        <w:rPr>
          <w:sz w:val="24"/>
          <w:szCs w:val="24"/>
        </w:rPr>
      </w:pPr>
    </w:p>
    <w:p w14:paraId="351BFF8B" w14:textId="77777777" w:rsidR="00162347" w:rsidRDefault="006D543F">
      <w:pPr>
        <w:spacing w:after="60"/>
        <w:rPr>
          <w:b/>
          <w:sz w:val="28"/>
          <w:szCs w:val="28"/>
          <w:u w:val="single"/>
        </w:rPr>
      </w:pPr>
      <w:r>
        <w:rPr>
          <w:b/>
          <w:sz w:val="28"/>
          <w:szCs w:val="28"/>
          <w:u w:val="single"/>
        </w:rPr>
        <w:t>Grant Agreements Signed – Spring 2021</w:t>
      </w:r>
    </w:p>
    <w:p w14:paraId="0E27437A" w14:textId="77777777" w:rsidR="00162347" w:rsidRDefault="006D543F">
      <w:pPr>
        <w:spacing w:after="60"/>
        <w:rPr>
          <w:sz w:val="24"/>
          <w:szCs w:val="24"/>
        </w:rPr>
      </w:pPr>
      <w:r>
        <w:rPr>
          <w:sz w:val="24"/>
          <w:szCs w:val="24"/>
        </w:rPr>
        <w:t>If selected for an award from the FY21 Program, an applicant wishing to participate must provide a signed agreement to MEA by the Spring 2021 deadli</w:t>
      </w:r>
      <w:r>
        <w:rPr>
          <w:sz w:val="24"/>
          <w:szCs w:val="24"/>
        </w:rPr>
        <w:t xml:space="preserve">ne, to be determined by MEA. </w:t>
      </w:r>
    </w:p>
    <w:p w14:paraId="135459D8" w14:textId="77777777" w:rsidR="00162347" w:rsidRDefault="00162347">
      <w:pPr>
        <w:spacing w:after="60"/>
        <w:rPr>
          <w:sz w:val="24"/>
          <w:szCs w:val="24"/>
        </w:rPr>
      </w:pPr>
    </w:p>
    <w:p w14:paraId="260761A0" w14:textId="77777777" w:rsidR="00162347" w:rsidRDefault="006D543F">
      <w:pPr>
        <w:spacing w:after="60"/>
        <w:rPr>
          <w:b/>
          <w:sz w:val="28"/>
          <w:szCs w:val="28"/>
          <w:u w:val="single"/>
        </w:rPr>
      </w:pPr>
      <w:r>
        <w:rPr>
          <w:b/>
          <w:sz w:val="28"/>
          <w:szCs w:val="28"/>
          <w:u w:val="single"/>
        </w:rPr>
        <w:t>Project Design Finalized – June 30, 2021</w:t>
      </w:r>
    </w:p>
    <w:p w14:paraId="04390CC6" w14:textId="77777777" w:rsidR="00162347" w:rsidRDefault="006D543F">
      <w:pPr>
        <w:spacing w:after="60"/>
        <w:rPr>
          <w:sz w:val="24"/>
          <w:szCs w:val="24"/>
        </w:rPr>
      </w:pPr>
      <w:r>
        <w:rPr>
          <w:sz w:val="24"/>
          <w:szCs w:val="24"/>
        </w:rPr>
        <w:t>Existing communities must submit completed Project Development forms (Attachment A) by this date.  Specification sheets for</w:t>
      </w:r>
      <w:r>
        <w:t xml:space="preserve"> </w:t>
      </w:r>
      <w:r>
        <w:rPr>
          <w:sz w:val="24"/>
          <w:szCs w:val="24"/>
        </w:rPr>
        <w:t>the main project components must be included with the applic</w:t>
      </w:r>
      <w:r>
        <w:rPr>
          <w:sz w:val="24"/>
          <w:szCs w:val="24"/>
        </w:rPr>
        <w:t xml:space="preserve">ation, and the energy and cost savings must be clearly substantiated.  The project should be in its final design stage.  </w:t>
      </w:r>
      <w:r>
        <w:rPr>
          <w:b/>
          <w:sz w:val="24"/>
          <w:szCs w:val="24"/>
        </w:rPr>
        <w:t xml:space="preserve">Work cannot begin until the project design has been approved by MEA via the Project Approval form (Attachment B). </w:t>
      </w:r>
    </w:p>
    <w:p w14:paraId="1BABACA6" w14:textId="77777777" w:rsidR="00162347" w:rsidRDefault="00162347">
      <w:pPr>
        <w:spacing w:after="60"/>
        <w:rPr>
          <w:b/>
          <w:sz w:val="24"/>
          <w:szCs w:val="24"/>
        </w:rPr>
      </w:pPr>
    </w:p>
    <w:p w14:paraId="240B0FEF" w14:textId="77777777" w:rsidR="00162347" w:rsidRDefault="006D543F">
      <w:pPr>
        <w:spacing w:after="60"/>
        <w:rPr>
          <w:sz w:val="24"/>
          <w:szCs w:val="24"/>
        </w:rPr>
      </w:pPr>
      <w:r>
        <w:rPr>
          <w:b/>
          <w:sz w:val="28"/>
          <w:szCs w:val="28"/>
          <w:u w:val="single"/>
        </w:rPr>
        <w:t>Baselines and Polic</w:t>
      </w:r>
      <w:r>
        <w:rPr>
          <w:b/>
          <w:sz w:val="28"/>
          <w:szCs w:val="28"/>
          <w:u w:val="single"/>
        </w:rPr>
        <w:t xml:space="preserve">ies – October 1, 2021 </w:t>
      </w:r>
      <w:r>
        <w:rPr>
          <w:sz w:val="24"/>
          <w:szCs w:val="24"/>
        </w:rPr>
        <w:t>(New Communities only)</w:t>
      </w:r>
    </w:p>
    <w:p w14:paraId="576EFD11" w14:textId="77777777" w:rsidR="00162347" w:rsidRDefault="006D543F">
      <w:pPr>
        <w:spacing w:after="60"/>
        <w:rPr>
          <w:sz w:val="24"/>
          <w:szCs w:val="24"/>
        </w:rPr>
      </w:pPr>
      <w:r>
        <w:rPr>
          <w:sz w:val="24"/>
          <w:szCs w:val="24"/>
        </w:rPr>
        <w:t>By this date, each New community must adopt at least two of the three MSEC energy policies, as well as submit its energy baselines and action plans.  The baseline must be comprehensive and will serve as a roadma</w:t>
      </w:r>
      <w:r>
        <w:rPr>
          <w:sz w:val="24"/>
          <w:szCs w:val="24"/>
        </w:rPr>
        <w:t>p for MSEC funding opportunities.  An MSEC community is eligible to receive access to its full award amount only if it has adopted the policy corresponding to the proposed project.</w:t>
      </w:r>
    </w:p>
    <w:p w14:paraId="57EF6CAF" w14:textId="77777777" w:rsidR="00162347" w:rsidRDefault="00162347">
      <w:pPr>
        <w:spacing w:after="60"/>
        <w:rPr>
          <w:sz w:val="24"/>
          <w:szCs w:val="24"/>
        </w:rPr>
      </w:pPr>
    </w:p>
    <w:p w14:paraId="17296AEA" w14:textId="77777777" w:rsidR="00162347" w:rsidRDefault="006D543F">
      <w:pPr>
        <w:spacing w:after="60"/>
        <w:rPr>
          <w:b/>
          <w:sz w:val="28"/>
          <w:szCs w:val="28"/>
          <w:u w:val="single"/>
        </w:rPr>
      </w:pPr>
      <w:r>
        <w:rPr>
          <w:b/>
          <w:sz w:val="28"/>
          <w:szCs w:val="28"/>
          <w:u w:val="single"/>
        </w:rPr>
        <w:t>Complete Construction – October 7, 2022</w:t>
      </w:r>
    </w:p>
    <w:p w14:paraId="2AF757B8" w14:textId="77777777" w:rsidR="00162347" w:rsidRDefault="006D543F">
      <w:pPr>
        <w:spacing w:after="60"/>
        <w:rPr>
          <w:sz w:val="24"/>
          <w:szCs w:val="24"/>
        </w:rPr>
      </w:pPr>
      <w:bookmarkStart w:id="0" w:name="_heading=h.30j0zll" w:colFirst="0" w:colLast="0"/>
      <w:bookmarkEnd w:id="0"/>
      <w:r>
        <w:rPr>
          <w:sz w:val="24"/>
          <w:szCs w:val="24"/>
        </w:rPr>
        <w:t xml:space="preserve">All work must be complete by this </w:t>
      </w:r>
      <w:r>
        <w:rPr>
          <w:sz w:val="24"/>
          <w:szCs w:val="24"/>
        </w:rPr>
        <w:t xml:space="preserve">date.  MEA will consider providing extensions on a case-by-case basis for good cause. </w:t>
      </w:r>
    </w:p>
    <w:p w14:paraId="6DECF6F9" w14:textId="77777777" w:rsidR="00162347" w:rsidRDefault="00162347">
      <w:pPr>
        <w:spacing w:after="60"/>
        <w:rPr>
          <w:sz w:val="24"/>
          <w:szCs w:val="24"/>
        </w:rPr>
      </w:pPr>
    </w:p>
    <w:p w14:paraId="36CB9316" w14:textId="77777777" w:rsidR="00162347" w:rsidRDefault="006D543F">
      <w:pPr>
        <w:spacing w:after="60"/>
        <w:rPr>
          <w:b/>
          <w:sz w:val="28"/>
          <w:szCs w:val="28"/>
          <w:u w:val="single"/>
        </w:rPr>
      </w:pPr>
      <w:bookmarkStart w:id="1" w:name="_heading=h.gjdgxs" w:colFirst="0" w:colLast="0"/>
      <w:bookmarkEnd w:id="1"/>
      <w:r>
        <w:rPr>
          <w:b/>
          <w:sz w:val="28"/>
          <w:szCs w:val="28"/>
          <w:u w:val="single"/>
        </w:rPr>
        <w:t>Final Report, Invoices &amp; Reimbursement Request – November 4, 2022</w:t>
      </w:r>
    </w:p>
    <w:p w14:paraId="3AD68ABC" w14:textId="77777777" w:rsidR="00162347" w:rsidRDefault="006D543F">
      <w:pPr>
        <w:spacing w:after="60"/>
        <w:rPr>
          <w:sz w:val="24"/>
          <w:szCs w:val="24"/>
        </w:rPr>
      </w:pPr>
      <w:bookmarkStart w:id="2" w:name="_heading=h.1fob9te" w:colFirst="0" w:colLast="0"/>
      <w:bookmarkEnd w:id="2"/>
      <w:r>
        <w:rPr>
          <w:sz w:val="24"/>
          <w:szCs w:val="24"/>
        </w:rPr>
        <w:t xml:space="preserve">All documentation must be sent via email by this date to MEA (msec.mea@maryland.gov) </w:t>
      </w:r>
      <w:proofErr w:type="gramStart"/>
      <w:r>
        <w:rPr>
          <w:sz w:val="24"/>
          <w:szCs w:val="24"/>
        </w:rPr>
        <w:t>in order to</w:t>
      </w:r>
      <w:proofErr w:type="gramEnd"/>
      <w:r>
        <w:rPr>
          <w:sz w:val="24"/>
          <w:szCs w:val="24"/>
        </w:rPr>
        <w:t xml:space="preserve"> recei</w:t>
      </w:r>
      <w:r>
        <w:rPr>
          <w:sz w:val="24"/>
          <w:szCs w:val="24"/>
        </w:rPr>
        <w:t>ve reimbursement.  Requested reimbursements should be made on official government letterhead and include the grant number and the grantee’s federal tax identification number.  Grantees must submit an Invoice Report Form (Attachment C), as well as vendor in</w:t>
      </w:r>
      <w:r>
        <w:rPr>
          <w:sz w:val="24"/>
          <w:szCs w:val="24"/>
        </w:rPr>
        <w:t xml:space="preserve">voices, copies of contractor licenses and insurance certificates, staff timesheets (if requesting reimbursement for admin expenses), and photographic documentation of the work performed and completed.  </w:t>
      </w:r>
      <w:r>
        <w:rPr>
          <w:b/>
          <w:sz w:val="24"/>
          <w:szCs w:val="24"/>
        </w:rPr>
        <w:t>The documentation must show that the work has been pai</w:t>
      </w:r>
      <w:r>
        <w:rPr>
          <w:b/>
          <w:sz w:val="24"/>
          <w:szCs w:val="24"/>
        </w:rPr>
        <w:t xml:space="preserve">d in full and that it matches the scope of work defined in the Project Development form.  </w:t>
      </w:r>
      <w:r>
        <w:rPr>
          <w:sz w:val="24"/>
          <w:szCs w:val="24"/>
        </w:rPr>
        <w:t>MEA will not provide funding for work that does not match the project approved by MEA.</w:t>
      </w:r>
    </w:p>
    <w:sectPr w:rsidR="00162347">
      <w:headerReference w:type="default" r:id="rId9"/>
      <w:pgSz w:w="12240" w:h="15840"/>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AEA2F2" w14:textId="77777777" w:rsidR="006D543F" w:rsidRDefault="006D543F">
      <w:pPr>
        <w:spacing w:after="0" w:line="240" w:lineRule="auto"/>
      </w:pPr>
      <w:r>
        <w:separator/>
      </w:r>
    </w:p>
  </w:endnote>
  <w:endnote w:type="continuationSeparator" w:id="0">
    <w:p w14:paraId="33DA55D1" w14:textId="77777777" w:rsidR="006D543F" w:rsidRDefault="006D54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822F32" w14:textId="77777777" w:rsidR="006D543F" w:rsidRDefault="006D543F">
      <w:pPr>
        <w:spacing w:after="0" w:line="240" w:lineRule="auto"/>
      </w:pPr>
      <w:r>
        <w:separator/>
      </w:r>
    </w:p>
  </w:footnote>
  <w:footnote w:type="continuationSeparator" w:id="0">
    <w:p w14:paraId="370F8937" w14:textId="77777777" w:rsidR="006D543F" w:rsidRDefault="006D54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4D49E5" w14:textId="77777777" w:rsidR="00162347" w:rsidRDefault="00162347"/>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2347"/>
    <w:rsid w:val="00162347"/>
    <w:rsid w:val="006D543F"/>
    <w:rsid w:val="009E48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B17143"/>
  <w15:docId w15:val="{17C3F650-B3F1-4C03-9F82-F996E3D2D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CommentReference">
    <w:name w:val="annotation reference"/>
    <w:basedOn w:val="DefaultParagraphFont"/>
    <w:uiPriority w:val="99"/>
    <w:semiHidden/>
    <w:unhideWhenUsed/>
    <w:rsid w:val="001A2848"/>
    <w:rPr>
      <w:sz w:val="16"/>
      <w:szCs w:val="16"/>
    </w:rPr>
  </w:style>
  <w:style w:type="paragraph" w:styleId="CommentText">
    <w:name w:val="annotation text"/>
    <w:basedOn w:val="Normal"/>
    <w:link w:val="CommentTextChar"/>
    <w:uiPriority w:val="99"/>
    <w:semiHidden/>
    <w:unhideWhenUsed/>
    <w:rsid w:val="001A2848"/>
    <w:pPr>
      <w:spacing w:line="240" w:lineRule="auto"/>
    </w:pPr>
    <w:rPr>
      <w:sz w:val="20"/>
      <w:szCs w:val="20"/>
    </w:rPr>
  </w:style>
  <w:style w:type="character" w:customStyle="1" w:styleId="CommentTextChar">
    <w:name w:val="Comment Text Char"/>
    <w:basedOn w:val="DefaultParagraphFont"/>
    <w:link w:val="CommentText"/>
    <w:uiPriority w:val="99"/>
    <w:semiHidden/>
    <w:rsid w:val="001A2848"/>
    <w:rPr>
      <w:sz w:val="20"/>
      <w:szCs w:val="20"/>
    </w:rPr>
  </w:style>
  <w:style w:type="paragraph" w:styleId="CommentSubject">
    <w:name w:val="annotation subject"/>
    <w:basedOn w:val="CommentText"/>
    <w:next w:val="CommentText"/>
    <w:link w:val="CommentSubjectChar"/>
    <w:uiPriority w:val="99"/>
    <w:semiHidden/>
    <w:unhideWhenUsed/>
    <w:rsid w:val="001A2848"/>
    <w:rPr>
      <w:b/>
      <w:bCs/>
    </w:rPr>
  </w:style>
  <w:style w:type="character" w:customStyle="1" w:styleId="CommentSubjectChar">
    <w:name w:val="Comment Subject Char"/>
    <w:basedOn w:val="CommentTextChar"/>
    <w:link w:val="CommentSubject"/>
    <w:uiPriority w:val="99"/>
    <w:semiHidden/>
    <w:rsid w:val="001A2848"/>
    <w:rPr>
      <w:b/>
      <w:bCs/>
      <w:sz w:val="20"/>
      <w:szCs w:val="20"/>
    </w:rPr>
  </w:style>
  <w:style w:type="paragraph" w:styleId="BalloonText">
    <w:name w:val="Balloon Text"/>
    <w:basedOn w:val="Normal"/>
    <w:link w:val="BalloonTextChar"/>
    <w:uiPriority w:val="99"/>
    <w:semiHidden/>
    <w:unhideWhenUsed/>
    <w:rsid w:val="001A28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2848"/>
    <w:rPr>
      <w:rFonts w:ascii="Segoe UI" w:hAnsi="Segoe UI" w:cs="Segoe UI"/>
      <w:sz w:val="18"/>
      <w:szCs w:val="18"/>
    </w:rPr>
  </w:style>
  <w:style w:type="paragraph" w:styleId="Revision">
    <w:name w:val="Revision"/>
    <w:hidden/>
    <w:uiPriority w:val="99"/>
    <w:semiHidden/>
    <w:rsid w:val="00566225"/>
    <w:pPr>
      <w:spacing w:after="0" w:line="240" w:lineRule="auto"/>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10.png"/><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StartDate xmlns="http://schemas.microsoft.com/sharepoint/v3" xsi:nil="true"/>
    <PublishingExpiration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go:gDocsCustomXmlDataStorage xmlns:go="http://customooxmlschemas.google.com/" xmlns:r="http://schemas.openxmlformats.org/officeDocument/2006/relationships">
  <go:docsCustomData xmlns:go="http://customooxmlschemas.google.com/" roundtripDataSignature="AMtx7mhTVLFH5HQP4DLiNv9HJqiV7W+36g==">AMUW2mVWvPrH7xQAzIK+qZ7Jdat4QU1jpoQdXUTDmw+FTZRMjc2SK2ehHnGFyJm1IF7ybmMJL4TiTIeeLX4TDoMwY59NrOCXY0xhBrx4T7ofXhj+z8e9V00nXQsH92OAnIldDy+nQp8RF5vHdWu/rKmVG7gCTT661Q==</go:docsCustomData>
</go:gDocsCustomXmlDataStorage>
</file>

<file path=customXml/item4.xml><?xml version="1.0" encoding="utf-8"?>
<ct:contentTypeSchema xmlns:ct="http://schemas.microsoft.com/office/2006/metadata/contentType" xmlns:ma="http://schemas.microsoft.com/office/2006/metadata/properties/metaAttributes" ct:_="" ma:_="" ma:contentTypeName="Document" ma:contentTypeID="0x010100AE588985BF8CEA48AE503AC8C27F807D" ma:contentTypeVersion="2" ma:contentTypeDescription="Create a new document." ma:contentTypeScope="" ma:versionID="9336bb4b892985c8a24fbd9cf44dc198">
  <xsd:schema xmlns:xsd="http://www.w3.org/2001/XMLSchema" xmlns:xs="http://www.w3.org/2001/XMLSchema" xmlns:p="http://schemas.microsoft.com/office/2006/metadata/properties" xmlns:ns1="http://schemas.microsoft.com/sharepoint/v3" targetNamespace="http://schemas.microsoft.com/office/2006/metadata/properties" ma:root="true" ma:fieldsID="ff328a1cd662c37536c074f55b1464a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07704E-F8EF-4BB1-B1F0-8479B9640E09}"/>
</file>

<file path=customXml/itemProps2.xml><?xml version="1.0" encoding="utf-8"?>
<ds:datastoreItem xmlns:ds="http://schemas.openxmlformats.org/officeDocument/2006/customXml" ds:itemID="{E0DAB6B3-3A8B-4443-812D-EE75E95EE3DC}"/>
</file>

<file path=customXml/itemProps3.xml><?xml version="1.0" encoding="utf-8"?>
<ds:datastoreItem xmlns:ds="http://schemas.openxmlformats.org/officeDocument/2006/customXml" ds:itemID="{11111111-1234-1234-1234-123412341234}"/>
</file>

<file path=customXml/itemProps4.xml><?xml version="1.0" encoding="utf-8"?>
<ds:datastoreItem xmlns:ds="http://schemas.openxmlformats.org/officeDocument/2006/customXml" ds:itemID="{55D94188-52E2-4468-B0ED-DBD7E99DA0E1}"/>
</file>

<file path=docProps/app.xml><?xml version="1.0" encoding="utf-8"?>
<Properties xmlns="http://schemas.openxmlformats.org/officeDocument/2006/extended-properties" xmlns:vt="http://schemas.openxmlformats.org/officeDocument/2006/docPropsVTypes">
  <Template>Normal</Template>
  <TotalTime>1</TotalTime>
  <Pages>2</Pages>
  <Words>456</Words>
  <Characters>2603</Characters>
  <Application>Microsoft Office Word</Application>
  <DocSecurity>0</DocSecurity>
  <Lines>21</Lines>
  <Paragraphs>6</Paragraphs>
  <ScaleCrop>false</ScaleCrop>
  <Company/>
  <LinksUpToDate>false</LinksUpToDate>
  <CharactersWithSpaces>3053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Brandon Baik</dc:creator>
  <cp:lastModifiedBy>Kaymie Owen</cp:lastModifiedBy>
  <cp:revision>2</cp:revision>
  <dcterms:created xsi:type="dcterms:W3CDTF">2020-09-22T00:09:00Z</dcterms:created>
  <dcterms:modified xsi:type="dcterms:W3CDTF">2020-09-22T00:09:00Z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0x010100AE588985BF8CEA48AE503AC8C27F807D</vt:lpwstr>
  </property>
</Properties>
</file>