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comments.xml" ContentType="application/vnd.openxmlformats-officedocument.wordprocessingml.comment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sz w:val="24"/>
          <w:szCs w:val="24"/>
          <w:rtl w:val="0"/>
        </w:rPr>
        <w:t xml:space="preserve">Tax</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Incentives</w:t>
      </w:r>
      <w:r w:rsidDel="00000000" w:rsidR="00000000" w:rsidRPr="00000000">
        <w:rPr>
          <w:rFonts w:ascii="Times New Roman" w:cs="Times New Roman" w:eastAsia="Times New Roman" w:hAnsi="Times New Roman"/>
          <w:b w:val="1"/>
          <w:sz w:val="24"/>
          <w:szCs w:val="24"/>
          <w:rtl w:val="0"/>
        </w:rPr>
        <w:tab/>
      </w:r>
      <w:r w:rsidDel="00000000" w:rsidR="00000000" w:rsidRPr="00000000">
        <w:rPr>
          <w:rtl w:val="0"/>
        </w:rPr>
      </w:r>
    </w:p>
    <w:p w:rsidR="00000000" w:rsidDel="00000000" w:rsidP="00000000" w:rsidRDefault="00000000" w:rsidRPr="00000000" w14:paraId="00000003">
      <w:pPr>
        <w:numPr>
          <w:ilvl w:val="0"/>
          <w:numId w:val="1"/>
        </w:numPr>
        <w:ind w:left="72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Creation of a personal property tax exemption for non-residential rooftop and parking canopy solar installations.</w:t>
      </w:r>
      <w:r w:rsidDel="00000000" w:rsidR="00000000" w:rsidRPr="00000000">
        <w:rPr>
          <w:rFonts w:ascii="Times New Roman" w:cs="Times New Roman" w:eastAsia="Times New Roman" w:hAnsi="Times New Roman"/>
          <w:sz w:val="24"/>
          <w:szCs w:val="24"/>
          <w:highlight w:val="green"/>
          <w:rtl w:val="0"/>
        </w:rPr>
        <w:t xml:space="preserve">.</w:t>
      </w:r>
    </w:p>
    <w:p w:rsidR="00000000" w:rsidDel="00000000" w:rsidP="00000000" w:rsidRDefault="00000000" w:rsidRPr="00000000" w14:paraId="00000004">
      <w:pPr>
        <w:numPr>
          <w:ilvl w:val="0"/>
          <w:numId w:val="1"/>
        </w:numPr>
        <w:ind w:left="72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Permissive grant of authority for local jurisdictions to offer assessment abatements for real property that is host to a solar parking canopy. </w:t>
      </w:r>
    </w:p>
    <w:p w:rsidR="00000000" w:rsidDel="00000000" w:rsidP="00000000" w:rsidRDefault="00000000" w:rsidRPr="00000000" w14:paraId="00000005">
      <w:pPr>
        <w:numPr>
          <w:ilvl w:val="0"/>
          <w:numId w:val="1"/>
        </w:numPr>
        <w:ind w:left="72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Change from the current taxing structure of real property and personal property taxes to a P.I.L.O.T. for ground-mounted solar installations.</w:t>
      </w:r>
    </w:p>
    <w:p w:rsidR="00000000" w:rsidDel="00000000" w:rsidP="00000000" w:rsidRDefault="00000000" w:rsidRPr="00000000" w14:paraId="00000006">
      <w:pPr>
        <w:numPr>
          <w:ilvl w:val="0"/>
          <w:numId w:val="1"/>
        </w:numPr>
        <w:ind w:left="72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The State should extend the sunset provision for the property tax exemption for certain community solar installations</w:t>
      </w:r>
    </w:p>
    <w:p w:rsidR="00000000" w:rsidDel="00000000" w:rsidP="00000000" w:rsidRDefault="00000000" w:rsidRPr="00000000" w14:paraId="00000007">
      <w:pPr>
        <w:rPr>
          <w:rFonts w:ascii="Times New Roman" w:cs="Times New Roman" w:eastAsia="Times New Roman" w:hAnsi="Times New Roman"/>
          <w:sz w:val="24"/>
          <w:szCs w:val="24"/>
          <w:highlight w:val="gree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Permitting</w:t>
      </w:r>
    </w:p>
    <w:p w:rsidR="00000000" w:rsidDel="00000000" w:rsidP="00000000" w:rsidRDefault="00000000" w:rsidRPr="00000000" w14:paraId="00000009">
      <w:pPr>
        <w:numPr>
          <w:ilvl w:val="0"/>
          <w:numId w:val="1"/>
        </w:numPr>
        <w:ind w:left="72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For</w:t>
      </w:r>
      <w:r w:rsidDel="00000000" w:rsidR="00000000" w:rsidRPr="00000000">
        <w:rPr>
          <w:rFonts w:ascii="Times New Roman" w:cs="Times New Roman" w:eastAsia="Times New Roman" w:hAnsi="Times New Roman"/>
          <w:sz w:val="24"/>
          <w:szCs w:val="24"/>
          <w:highlight w:val="green"/>
          <w:rtl w:val="0"/>
        </w:rPr>
        <w:t xml:space="preserve"> residential permitting - require all local jurisdiction permitting authorities to adopt an online standardized permit process including, but not limited to, Solar App+</w:t>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Interconnection</w:t>
      </w:r>
      <w:r w:rsidDel="00000000" w:rsidR="00000000" w:rsidRPr="00000000">
        <w:rPr>
          <w:rtl w:val="0"/>
        </w:rPr>
      </w:r>
    </w:p>
    <w:p w:rsidR="00000000" w:rsidDel="00000000" w:rsidP="00000000" w:rsidRDefault="00000000" w:rsidRPr="00000000" w14:paraId="0000000C">
      <w:pPr>
        <w:numPr>
          <w:ilvl w:val="0"/>
          <w:numId w:val="1"/>
        </w:numPr>
        <w:ind w:left="72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Utilities should eliminate the use of aggregate circuit capacity limits, and replace them with a hosting-capacity based screening methodology.</w:t>
      </w:r>
    </w:p>
    <w:p w:rsidR="00000000" w:rsidDel="00000000" w:rsidP="00000000" w:rsidRDefault="00000000" w:rsidRPr="00000000" w14:paraId="0000000D">
      <w:pPr>
        <w:numPr>
          <w:ilvl w:val="0"/>
          <w:numId w:val="1"/>
        </w:numPr>
        <w:ind w:left="72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Interconnection fee </w:t>
      </w:r>
      <w:r w:rsidDel="00000000" w:rsidR="00000000" w:rsidRPr="00000000">
        <w:rPr>
          <w:rFonts w:ascii="Times New Roman" w:cs="Times New Roman" w:eastAsia="Times New Roman" w:hAnsi="Times New Roman"/>
          <w:sz w:val="24"/>
          <w:szCs w:val="24"/>
          <w:highlight w:val="green"/>
          <w:rtl w:val="0"/>
        </w:rPr>
        <w:t xml:space="preserve">structure</w:t>
      </w:r>
      <w:r w:rsidDel="00000000" w:rsidR="00000000" w:rsidRPr="00000000">
        <w:rPr>
          <w:rFonts w:ascii="Times New Roman" w:cs="Times New Roman" w:eastAsia="Times New Roman" w:hAnsi="Times New Roman"/>
          <w:sz w:val="24"/>
          <w:szCs w:val="24"/>
          <w:highlight w:val="green"/>
          <w:rtl w:val="0"/>
        </w:rPr>
        <w:t xml:space="preserve"> - Support moving from a causer-pays model to a fee model where costs are distributed among those who benefit from the grid upgrades.</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Increase net metering cap from 2MW-AC to 5MW-AC.</w:t>
      </w:r>
      <w:r w:rsidDel="00000000" w:rsidR="00000000" w:rsidRPr="00000000">
        <w:rPr>
          <w:rtl w:val="0"/>
        </w:rPr>
      </w:r>
    </w:p>
    <w:p w:rsidR="00000000" w:rsidDel="00000000" w:rsidP="00000000" w:rsidRDefault="00000000" w:rsidRPr="00000000" w14:paraId="0000000F">
      <w:pPr>
        <w:numPr>
          <w:ilvl w:val="0"/>
          <w:numId w:val="1"/>
        </w:numPr>
        <w:ind w:left="72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Encourage the Public Service Commission to allow meter collar adapters</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Times New Roman" w:cs="Times New Roman" w:eastAsia="Times New Roman" w:hAnsi="Times New Roman"/>
          <w:sz w:val="24"/>
          <w:szCs w:val="24"/>
          <w:shd w:fill="e06666" w:val="clear"/>
        </w:rPr>
      </w:pPr>
      <w:r w:rsidDel="00000000" w:rsidR="00000000" w:rsidRPr="00000000">
        <w:rPr>
          <w:rFonts w:ascii="Times New Roman" w:cs="Times New Roman" w:eastAsia="Times New Roman" w:hAnsi="Times New Roman"/>
          <w:sz w:val="24"/>
          <w:szCs w:val="24"/>
          <w:shd w:fill="e06666" w:val="clear"/>
          <w:rtl w:val="0"/>
        </w:rPr>
        <w:t xml:space="preserve">Raise</w:t>
      </w:r>
      <w:r w:rsidDel="00000000" w:rsidR="00000000" w:rsidRPr="00000000">
        <w:rPr>
          <w:rFonts w:ascii="Times New Roman" w:cs="Times New Roman" w:eastAsia="Times New Roman" w:hAnsi="Times New Roman"/>
          <w:sz w:val="24"/>
          <w:szCs w:val="24"/>
          <w:shd w:fill="e06666" w:val="clear"/>
          <w:rtl w:val="0"/>
        </w:rPr>
        <w:t xml:space="preserve"> existing net metering capacity cap of </w:t>
      </w:r>
      <w:r w:rsidDel="00000000" w:rsidR="00000000" w:rsidRPr="00000000">
        <w:rPr>
          <w:rFonts w:ascii="Times New Roman" w:cs="Times New Roman" w:eastAsia="Times New Roman" w:hAnsi="Times New Roman"/>
          <w:sz w:val="24"/>
          <w:szCs w:val="24"/>
          <w:shd w:fill="e06666" w:val="clear"/>
          <w:rtl w:val="0"/>
        </w:rPr>
        <w:t xml:space="preserve">3000</w:t>
      </w:r>
      <w:r w:rsidDel="00000000" w:rsidR="00000000" w:rsidRPr="00000000">
        <w:rPr>
          <w:rFonts w:ascii="Times New Roman" w:cs="Times New Roman" w:eastAsia="Times New Roman" w:hAnsi="Times New Roman"/>
          <w:sz w:val="24"/>
          <w:szCs w:val="24"/>
          <w:shd w:fill="e06666" w:val="clear"/>
          <w:rtl w:val="0"/>
        </w:rPr>
        <w:t xml:space="preserve"> MW</w:t>
      </w:r>
    </w:p>
    <w:p w:rsidR="00000000" w:rsidDel="00000000" w:rsidP="00000000" w:rsidRDefault="00000000" w:rsidRPr="00000000" w14:paraId="00000011">
      <w:pPr>
        <w:numPr>
          <w:ilvl w:val="0"/>
          <w:numId w:val="1"/>
        </w:numPr>
        <w:ind w:left="72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Interconnection</w:t>
      </w:r>
      <w:r w:rsidDel="00000000" w:rsidR="00000000" w:rsidRPr="00000000">
        <w:rPr>
          <w:rFonts w:ascii="Times New Roman" w:cs="Times New Roman" w:eastAsia="Times New Roman" w:hAnsi="Times New Roman"/>
          <w:sz w:val="24"/>
          <w:szCs w:val="24"/>
          <w:highlight w:val="green"/>
          <w:rtl w:val="0"/>
        </w:rPr>
        <w:t xml:space="preserve"> application for Community Solar projects - remove requirement to include Subscriber Organization info at time of interconnection application. Allow this to be selected/added later.</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MBE</w:t>
      </w:r>
    </w:p>
    <w:p w:rsidR="00000000" w:rsidDel="00000000" w:rsidP="00000000" w:rsidRDefault="00000000" w:rsidRPr="00000000" w14:paraId="00000014">
      <w:pPr>
        <w:numPr>
          <w:ilvl w:val="0"/>
          <w:numId w:val="1"/>
        </w:numPr>
        <w:ind w:left="72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The State should conduct a Disparity Study Analysis of a) the availability of businesses</w:t>
      </w:r>
      <w:r w:rsidDel="00000000" w:rsidR="00000000" w:rsidRPr="00000000">
        <w:rPr>
          <w:rFonts w:ascii="Times New Roman" w:cs="Times New Roman" w:eastAsia="Times New Roman" w:hAnsi="Times New Roman"/>
          <w:sz w:val="24"/>
          <w:szCs w:val="24"/>
          <w:highlight w:val="green"/>
          <w:rtl w:val="0"/>
        </w:rPr>
        <w:t xml:space="preserve"> and non-profit organizations</w:t>
      </w:r>
      <w:r w:rsidDel="00000000" w:rsidR="00000000" w:rsidRPr="00000000">
        <w:rPr>
          <w:rFonts w:ascii="Times New Roman" w:cs="Times New Roman" w:eastAsia="Times New Roman" w:hAnsi="Times New Roman"/>
          <w:sz w:val="24"/>
          <w:szCs w:val="24"/>
          <w:highlight w:val="green"/>
          <w:rtl w:val="0"/>
        </w:rPr>
        <w:t xml:space="preserve"> owned by minorities and women in the solar industry and b) the utilization of </w:t>
      </w:r>
      <w:r w:rsidDel="00000000" w:rsidR="00000000" w:rsidRPr="00000000">
        <w:rPr>
          <w:rFonts w:ascii="Times New Roman" w:cs="Times New Roman" w:eastAsia="Times New Roman" w:hAnsi="Times New Roman"/>
          <w:sz w:val="24"/>
          <w:szCs w:val="24"/>
          <w:highlight w:val="green"/>
          <w:rtl w:val="0"/>
        </w:rPr>
        <w:t xml:space="preserve">these entities</w:t>
      </w:r>
      <w:r w:rsidDel="00000000" w:rsidR="00000000" w:rsidRPr="00000000">
        <w:rPr>
          <w:rFonts w:ascii="Times New Roman" w:cs="Times New Roman" w:eastAsia="Times New Roman" w:hAnsi="Times New Roman"/>
          <w:sz w:val="24"/>
          <w:szCs w:val="24"/>
          <w:highlight w:val="green"/>
          <w:rtl w:val="0"/>
        </w:rPr>
        <w:t xml:space="preserve"> as contractors and subcontractors in the Maryland solar marketplace.  </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Workforce</w:t>
      </w:r>
    </w:p>
    <w:p w:rsidR="00000000" w:rsidDel="00000000" w:rsidP="00000000" w:rsidRDefault="00000000" w:rsidRPr="00000000" w14:paraId="00000017">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Require the State to adopt into code the federal prevailing wage charges as put forth in the IRA.  </w:t>
      </w:r>
    </w:p>
    <w:p w:rsidR="00000000" w:rsidDel="00000000" w:rsidP="00000000" w:rsidRDefault="00000000" w:rsidRPr="00000000" w14:paraId="00000018">
      <w:pPr>
        <w:ind w:left="720" w:firstLine="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Specifically, to receive increased credit and deduction amounts under the IRA, workers must be paid the local prevailing wage, defined in accordance with Department of Labor standards, for work on facility construction, as well as for alterations and repairs in a five-to-twelve-year period, depending on the credit, after a facility is placed in service.  The IRA also establishes punishments and penalties for non-compliance.</w:t>
      </w:r>
    </w:p>
    <w:p w:rsidR="00000000" w:rsidDel="00000000" w:rsidP="00000000" w:rsidRDefault="00000000" w:rsidRPr="00000000" w14:paraId="00000019">
      <w:pPr>
        <w:ind w:left="720" w:firstLine="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Thus, Maryland code should be modeled after the following language from the IRA (H.R. 5376, Subtitle D, Part 1, provision f):</w:t>
      </w:r>
    </w:p>
    <w:p w:rsidR="00000000" w:rsidDel="00000000" w:rsidP="00000000" w:rsidRDefault="00000000" w:rsidRPr="00000000" w14:paraId="0000001A">
      <w:pPr>
        <w:ind w:left="1440" w:firstLine="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(f) Wage…Requirements.--Section 45(b) is amended by adding at the end the following new paragraphs: </w:t>
      </w:r>
    </w:p>
    <w:p w:rsidR="00000000" w:rsidDel="00000000" w:rsidP="00000000" w:rsidRDefault="00000000" w:rsidRPr="00000000" w14:paraId="0000001B">
      <w:pPr>
        <w:ind w:left="2160" w:firstLine="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``(6) Increased credit amount for qualified facilities.--</w:t>
      </w:r>
    </w:p>
    <w:p w:rsidR="00000000" w:rsidDel="00000000" w:rsidP="00000000" w:rsidRDefault="00000000" w:rsidRPr="00000000" w14:paraId="0000001C">
      <w:pPr>
        <w:ind w:left="2880" w:firstLine="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``(A) In general.--In the case of any qualified facility which satisfies the requirements of subparagraph (B), the amount of the credit determined under subsection (a) (determined after the application of paragraphs (1) through (5) and without regard to this paragraph) shall be equal to such amount multiplied by 5.</w:t>
      </w:r>
    </w:p>
    <w:p w:rsidR="00000000" w:rsidDel="00000000" w:rsidP="00000000" w:rsidRDefault="00000000" w:rsidRPr="00000000" w14:paraId="0000001D">
      <w:pPr>
        <w:ind w:left="2880" w:firstLine="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``(B) Qualified facility requirements.--A qualified facility meets the requirements of this subparagraph if it is one of the following:</w:t>
      </w:r>
    </w:p>
    <w:p w:rsidR="00000000" w:rsidDel="00000000" w:rsidP="00000000" w:rsidRDefault="00000000" w:rsidRPr="00000000" w14:paraId="0000001E">
      <w:pPr>
        <w:ind w:left="3600" w:firstLine="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``(i) A facility with a maximum net output of less than 1 megawatt (as measured in alternating current).</w:t>
      </w:r>
    </w:p>
    <w:p w:rsidR="00000000" w:rsidDel="00000000" w:rsidP="00000000" w:rsidRDefault="00000000" w:rsidRPr="00000000" w14:paraId="0000001F">
      <w:pPr>
        <w:ind w:left="3600" w:firstLine="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``(ii) A facility the construction of which begins prior to the date that is 60 days after the Secretary publishes guidance with respect to the requirements of paragraphs (7)(A) and (8).</w:t>
      </w:r>
    </w:p>
    <w:p w:rsidR="00000000" w:rsidDel="00000000" w:rsidP="00000000" w:rsidRDefault="00000000" w:rsidRPr="00000000" w14:paraId="00000020">
      <w:pPr>
        <w:ind w:left="3600" w:firstLine="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``(iii) A facility which satisfies the requirements of paragraphs (7)(A) and (8).</w:t>
      </w:r>
    </w:p>
    <w:p w:rsidR="00000000" w:rsidDel="00000000" w:rsidP="00000000" w:rsidRDefault="00000000" w:rsidRPr="00000000" w14:paraId="00000021">
      <w:pPr>
        <w:ind w:left="2160" w:firstLine="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``(7) Prevailing wage requirements.--</w:t>
      </w:r>
    </w:p>
    <w:p w:rsidR="00000000" w:rsidDel="00000000" w:rsidP="00000000" w:rsidRDefault="00000000" w:rsidRPr="00000000" w14:paraId="00000022">
      <w:pPr>
        <w:ind w:left="2880" w:firstLine="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``(A) In general.--The requirements described in this subparagraph with respect to any qualified facility are that the taxpayer shall ensure that any laborers and mechanics employed by the taxpayer or any contractor or subcontractor in– </w:t>
      </w:r>
    </w:p>
    <w:p w:rsidR="00000000" w:rsidDel="00000000" w:rsidP="00000000" w:rsidRDefault="00000000" w:rsidRPr="00000000" w14:paraId="00000023">
      <w:pPr>
        <w:ind w:left="3600" w:firstLine="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``(i) the construction of such facility, and</w:t>
      </w:r>
    </w:p>
    <w:p w:rsidR="00000000" w:rsidDel="00000000" w:rsidP="00000000" w:rsidRDefault="00000000" w:rsidRPr="00000000" w14:paraId="00000024">
      <w:pPr>
        <w:ind w:left="3600" w:firstLine="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``(ii) with respect to any taxable year, for any portion of such taxable year which is within the period described in subsection (a)(2)(A)(ii), the alteration or repair of such facility, shall be paid wages at rates not less than the prevailing rates for construction, alteration, or repair of a similar character in the locality in which such facility is located as most recently determined by the Secretary of Labor, in accordance with subchapter IV of chapter 31 of title 40, United States Code.</w:t>
      </w:r>
    </w:p>
    <w:p w:rsidR="00000000" w:rsidDel="00000000" w:rsidP="00000000" w:rsidRDefault="00000000" w:rsidRPr="00000000" w14:paraId="00000025">
      <w:pPr>
        <w:numPr>
          <w:ilvl w:val="0"/>
          <w:numId w:val="1"/>
        </w:numPr>
        <w:ind w:left="72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Require Community Benefits Plan for projects over 1 MW (but give flexibility in the terms of the plan; could employ a PLA agreement or a Community Workforce Agreement or establish other mechanisms for delivering local workforce benefits) </w:t>
      </w:r>
    </w:p>
    <w:p w:rsidR="00000000" w:rsidDel="00000000" w:rsidP="00000000" w:rsidRDefault="00000000" w:rsidRPr="00000000" w14:paraId="0000002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Procedural</w:t>
      </w:r>
    </w:p>
    <w:p w:rsidR="00000000" w:rsidDel="00000000" w:rsidP="00000000" w:rsidRDefault="00000000" w:rsidRPr="00000000" w14:paraId="00000028">
      <w:pPr>
        <w:numPr>
          <w:ilvl w:val="0"/>
          <w:numId w:val="1"/>
        </w:numPr>
        <w:ind w:left="720" w:hanging="360"/>
        <w:rPr>
          <w:rFonts w:ascii="Times New Roman" w:cs="Times New Roman" w:eastAsia="Times New Roman" w:hAnsi="Times New Roman"/>
          <w:sz w:val="24"/>
          <w:szCs w:val="24"/>
          <w:shd w:fill="e06666" w:val="clear"/>
        </w:rPr>
      </w:pPr>
      <w:r w:rsidDel="00000000" w:rsidR="00000000" w:rsidRPr="00000000">
        <w:rPr>
          <w:rFonts w:ascii="Times New Roman" w:cs="Times New Roman" w:eastAsia="Times New Roman" w:hAnsi="Times New Roman"/>
          <w:sz w:val="24"/>
          <w:szCs w:val="24"/>
          <w:shd w:fill="e06666" w:val="clear"/>
          <w:rtl w:val="0"/>
        </w:rPr>
        <w:t xml:space="preserve">Encourage</w:t>
      </w:r>
      <w:r w:rsidDel="00000000" w:rsidR="00000000" w:rsidRPr="00000000">
        <w:rPr>
          <w:rFonts w:ascii="Times New Roman" w:cs="Times New Roman" w:eastAsia="Times New Roman" w:hAnsi="Times New Roman"/>
          <w:sz w:val="24"/>
          <w:szCs w:val="24"/>
          <w:shd w:fill="e06666" w:val="clear"/>
          <w:rtl w:val="0"/>
        </w:rPr>
        <w:t xml:space="preserve"> DLS to specifically include in Fiscal Notes the ratepayer impacts (i.e. the changes in cost of utility service for various rate classes) for new or revised energy incentives (e.g. alterations to the alternative compliance payment structure, net energy metering, RPS, etc.)</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Studying RPS/ACP</w:t>
      </w:r>
    </w:p>
    <w:p w:rsidR="00000000" w:rsidDel="00000000" w:rsidP="00000000" w:rsidRDefault="00000000" w:rsidRPr="00000000" w14:paraId="0000002B">
      <w:pPr>
        <w:numPr>
          <w:ilvl w:val="0"/>
          <w:numId w:val="1"/>
        </w:numPr>
        <w:ind w:left="72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Require a study to inform RPS reform, conducted by the Maryland Energy Administration, working along with other applicable stakeholders, with a report to be filed by July 1, 2025</w:t>
      </w:r>
      <w:r w:rsidDel="00000000" w:rsidR="00000000" w:rsidRPr="00000000">
        <w:rPr>
          <w:rFonts w:ascii="Times New Roman" w:cs="Times New Roman" w:eastAsia="Times New Roman" w:hAnsi="Times New Roman"/>
          <w:sz w:val="24"/>
          <w:szCs w:val="24"/>
          <w:highlight w:val="green"/>
          <w:rtl w:val="0"/>
        </w:rPr>
        <w:t xml:space="preserve">.</w:t>
      </w:r>
      <w:r w:rsidDel="00000000" w:rsidR="00000000" w:rsidRPr="00000000">
        <w:rPr>
          <w:rtl w:val="0"/>
        </w:rPr>
      </w:r>
    </w:p>
    <w:p w:rsidR="00000000" w:rsidDel="00000000" w:rsidP="00000000" w:rsidRDefault="00000000" w:rsidRPr="00000000" w14:paraId="0000002C">
      <w:pPr>
        <w:ind w:left="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D">
      <w:pPr>
        <w:ind w:left="0" w:firstLine="0"/>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RPS “Bridge” Policies</w:t>
      </w:r>
    </w:p>
    <w:p w:rsidR="00000000" w:rsidDel="00000000" w:rsidP="00000000" w:rsidRDefault="00000000" w:rsidRPr="00000000" w14:paraId="0000002E">
      <w:pPr>
        <w:numPr>
          <w:ilvl w:val="0"/>
          <w:numId w:val="1"/>
        </w:numPr>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green"/>
          <w:rtl w:val="0"/>
        </w:rPr>
        <w:t xml:space="preserve">Adopt a temporary (3-year “bridge” with a sunset provision) incentive policy in the 2024 legislative session to incentivize solar while Maryland designs and subsequently implements its long-term RPS reform policy. [Voted on general goal.  Did not vote on specific bridge policies, i.e. SREC multiplier structures or changes to the ACP Schedule.]</w:t>
      </w: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Residential Clean Energy Rebate</w:t>
      </w:r>
    </w:p>
    <w:p w:rsidR="00000000" w:rsidDel="00000000" w:rsidP="00000000" w:rsidRDefault="00000000" w:rsidRPr="00000000" w14:paraId="00000031">
      <w:pPr>
        <w:numPr>
          <w:ilvl w:val="0"/>
          <w:numId w:val="1"/>
        </w:numPr>
        <w:ind w:left="72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color w:val="222222"/>
          <w:sz w:val="24"/>
          <w:szCs w:val="24"/>
          <w:highlight w:val="green"/>
          <w:rtl w:val="0"/>
        </w:rPr>
        <w:t xml:space="preserve">Adopt a temporary (3-year “bridge” with a sunset provision) incentive policy in the 2024  legislative session to incentivize residential solar while Maryland designs and subsequently implements its long-term RPS reform policy. T</w:t>
      </w:r>
      <w:r w:rsidDel="00000000" w:rsidR="00000000" w:rsidRPr="00000000">
        <w:rPr>
          <w:rFonts w:ascii="Times New Roman" w:cs="Times New Roman" w:eastAsia="Times New Roman" w:hAnsi="Times New Roman"/>
          <w:sz w:val="24"/>
          <w:szCs w:val="24"/>
          <w:highlight w:val="green"/>
          <w:rtl w:val="0"/>
        </w:rPr>
        <w:t xml:space="preserve">he legislature should establish a single-family residential solar grant program using SACP funds to leverage private dollars for the installation of single-family solar systems benefiting low to moderate income homeowners and overburdened and underserved communities.  </w:t>
      </w:r>
    </w:p>
    <w:p w:rsidR="00000000" w:rsidDel="00000000" w:rsidP="00000000" w:rsidRDefault="00000000" w:rsidRPr="00000000" w14:paraId="00000032">
      <w:pPr>
        <w:shd w:fill="ffffff" w:val="clear"/>
        <w:ind w:left="1440" w:firstLine="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The program should have two tiers:</w:t>
      </w:r>
    </w:p>
    <w:p w:rsidR="00000000" w:rsidDel="00000000" w:rsidP="00000000" w:rsidRDefault="00000000" w:rsidRPr="00000000" w14:paraId="00000033">
      <w:pPr>
        <w:numPr>
          <w:ilvl w:val="0"/>
          <w:numId w:val="2"/>
        </w:numPr>
        <w:shd w:fill="ffffff" w:val="clear"/>
        <w:ind w:left="2160" w:hanging="360"/>
        <w:rPr>
          <w:rFonts w:ascii="Times New Roman" w:cs="Times New Roman" w:eastAsia="Times New Roman" w:hAnsi="Times New Roman"/>
          <w:color w:val="000000"/>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Tier 1: For households who qualify via geographic eligibility within LMIOU census tracks, up to a household income cap established by the legislature.</w:t>
      </w:r>
    </w:p>
    <w:p w:rsidR="00000000" w:rsidDel="00000000" w:rsidP="00000000" w:rsidRDefault="00000000" w:rsidRPr="00000000" w14:paraId="00000034">
      <w:pPr>
        <w:numPr>
          <w:ilvl w:val="0"/>
          <w:numId w:val="2"/>
        </w:numPr>
        <w:shd w:fill="ffffff" w:val="clear"/>
        <w:ind w:left="2160" w:hanging="360"/>
        <w:rPr>
          <w:rFonts w:ascii="Times New Roman" w:cs="Times New Roman" w:eastAsia="Times New Roman" w:hAnsi="Times New Roman"/>
          <w:color w:val="000000"/>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Tier 2: Higher level grant for households who are income verified within LMIOU census tracks. </w:t>
      </w:r>
    </w:p>
    <w:p w:rsidR="00000000" w:rsidDel="00000000" w:rsidP="00000000" w:rsidRDefault="00000000" w:rsidRPr="00000000" w14:paraId="00000035">
      <w:pPr>
        <w:shd w:fill="ffffff" w:val="clear"/>
        <w:ind w:left="1440" w:firstLine="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The program shall be open to all business models and the grant shall be assignable to the system owner if that is different from the homeowner.</w:t>
      </w:r>
    </w:p>
    <w:p w:rsidR="00000000" w:rsidDel="00000000" w:rsidP="00000000" w:rsidRDefault="00000000" w:rsidRPr="00000000" w14:paraId="00000036">
      <w:pPr>
        <w:shd w:fill="ffffff" w:val="clear"/>
        <w:ind w:left="1440" w:firstLine="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Should the legislature deem that income verification beyond self-attestation is necessary, the legislature should establish a streamlined verification process whereby the State issues eligibility status of an applicant within 30 days of application.</w:t>
      </w:r>
    </w:p>
    <w:p w:rsidR="00000000" w:rsidDel="00000000" w:rsidP="00000000" w:rsidRDefault="00000000" w:rsidRPr="00000000" w14:paraId="00000037">
      <w:pPr>
        <w:shd w:fill="ffffff" w:val="clear"/>
        <w:ind w:left="1440" w:firstLine="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The legislature should amend the eligibility for SACP funds to include LMI households that are outside of LMIOU communities. </w:t>
      </w:r>
    </w:p>
    <w:p w:rsidR="00000000" w:rsidDel="00000000" w:rsidP="00000000" w:rsidRDefault="00000000" w:rsidRPr="00000000" w14:paraId="00000038">
      <w:pPr>
        <w:shd w:fill="ffffff" w:val="clear"/>
        <w:ind w:left="1440" w:firstLine="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The legislature should also explore establishing a grant program for homeowners outside of the LMIOU communities. SACP funds shall not be used for this purpose.   </w:t>
      </w:r>
    </w:p>
    <w:p w:rsidR="00000000" w:rsidDel="00000000" w:rsidP="00000000" w:rsidRDefault="00000000" w:rsidRPr="00000000" w14:paraId="00000039">
      <w:pPr>
        <w:shd w:fill="ffffff" w:val="clear"/>
        <w:ind w:left="1440" w:firstLine="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The legislature should set a reasonable soft cap on this program, with discretion provided to the MEA to exceed this amount based on program success and funds available.</w:t>
      </w:r>
      <w:r w:rsidDel="00000000" w:rsidR="00000000" w:rsidRPr="00000000">
        <w:rPr>
          <w:rtl w:val="0"/>
        </w:rPr>
      </w:r>
    </w:p>
    <w:p w:rsidR="00000000" w:rsidDel="00000000" w:rsidP="00000000" w:rsidRDefault="00000000" w:rsidRPr="00000000" w14:paraId="0000003A">
      <w:pPr>
        <w:numPr>
          <w:ilvl w:val="0"/>
          <w:numId w:val="1"/>
        </w:numPr>
        <w:ind w:left="720" w:hanging="360"/>
        <w:rPr>
          <w:rFonts w:ascii="Times New Roman" w:cs="Times New Roman" w:eastAsia="Times New Roman" w:hAnsi="Times New Roman"/>
          <w:sz w:val="24"/>
          <w:szCs w:val="24"/>
          <w:shd w:fill="e06666" w:val="clear"/>
        </w:rPr>
      </w:pPr>
      <w:r w:rsidDel="00000000" w:rsidR="00000000" w:rsidRPr="00000000">
        <w:rPr>
          <w:rFonts w:ascii="Times New Roman" w:cs="Times New Roman" w:eastAsia="Times New Roman" w:hAnsi="Times New Roman"/>
          <w:sz w:val="24"/>
          <w:szCs w:val="24"/>
          <w:shd w:fill="e06666" w:val="clear"/>
          <w:rtl w:val="0"/>
        </w:rPr>
        <w:t xml:space="preserve">Require that 3rd party owned solar systems are eligible for all Maryland incentives, including the Residential Clean Energy Rebate Program.  Require that eligibility is contingent on meeting consumer protection requirements (i.e. cap on escalator rate).</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sz w:val="24"/>
          <w:szCs w:val="24"/>
          <w:rtl w:val="0"/>
        </w:rPr>
        <w:t xml:space="preserve">Other Residential Rooftop Measures</w:t>
      </w:r>
      <w:r w:rsidDel="00000000" w:rsidR="00000000" w:rsidRPr="00000000">
        <w:rPr>
          <w:rtl w:val="0"/>
        </w:rPr>
      </w:r>
    </w:p>
    <w:p w:rsidR="00000000" w:rsidDel="00000000" w:rsidP="00000000" w:rsidRDefault="00000000" w:rsidRPr="00000000" w14:paraId="0000003D">
      <w:pPr>
        <w:numPr>
          <w:ilvl w:val="0"/>
          <w:numId w:val="1"/>
        </w:numPr>
        <w:ind w:left="720" w:hanging="360"/>
        <w:rPr>
          <w:rFonts w:ascii="Times New Roman" w:cs="Times New Roman" w:eastAsia="Times New Roman" w:hAnsi="Times New Roman"/>
          <w:sz w:val="24"/>
          <w:szCs w:val="24"/>
          <w:shd w:fill="e06666" w:val="clear"/>
        </w:rPr>
      </w:pPr>
      <w:r w:rsidDel="00000000" w:rsidR="00000000" w:rsidRPr="00000000">
        <w:rPr>
          <w:rFonts w:ascii="Times New Roman" w:cs="Times New Roman" w:eastAsia="Times New Roman" w:hAnsi="Times New Roman"/>
          <w:sz w:val="24"/>
          <w:szCs w:val="24"/>
          <w:shd w:fill="e06666" w:val="clear"/>
          <w:rtl w:val="0"/>
        </w:rPr>
        <w:t xml:space="preserve">Eliminate the Maryland Energy Storage Income Tax Credit and reallocate the funds to a targeted LMI Residential Rooftop Solar Program.  </w:t>
      </w:r>
    </w:p>
    <w:p w:rsidR="00000000" w:rsidDel="00000000" w:rsidP="00000000" w:rsidRDefault="00000000" w:rsidRPr="00000000" w14:paraId="0000003E">
      <w:pPr>
        <w:numPr>
          <w:ilvl w:val="0"/>
          <w:numId w:val="1"/>
        </w:numPr>
        <w:ind w:left="720" w:hanging="360"/>
        <w:rPr>
          <w:rFonts w:ascii="Times New Roman" w:cs="Times New Roman" w:eastAsia="Times New Roman" w:hAnsi="Times New Roman"/>
          <w:sz w:val="24"/>
          <w:szCs w:val="24"/>
          <w:shd w:fill="e06666" w:val="clear"/>
        </w:rPr>
      </w:pPr>
      <w:r w:rsidDel="00000000" w:rsidR="00000000" w:rsidRPr="00000000">
        <w:rPr>
          <w:rFonts w:ascii="Times New Roman" w:cs="Times New Roman" w:eastAsia="Times New Roman" w:hAnsi="Times New Roman"/>
          <w:sz w:val="24"/>
          <w:szCs w:val="24"/>
          <w:shd w:fill="e06666" w:val="clear"/>
          <w:rtl w:val="0"/>
        </w:rPr>
        <w:t xml:space="preserve">Require a portion of Electric Universal Service Program (EUSP) funding be utilized to install residential rooftop solar systems on the homes of EUSP-eligible recipients to cover 100% of annual usage and eliminate their ongoing need for EUSP.</w:t>
      </w:r>
    </w:p>
    <w:p w:rsidR="00000000" w:rsidDel="00000000" w:rsidP="00000000" w:rsidRDefault="00000000" w:rsidRPr="00000000" w14:paraId="0000003F">
      <w:pPr>
        <w:ind w:left="720" w:firstLine="0"/>
        <w:rPr>
          <w:rFonts w:ascii="Times New Roman" w:cs="Times New Roman" w:eastAsia="Times New Roman" w:hAnsi="Times New Roman"/>
          <w:i w:val="1"/>
          <w:color w:val="0000ff"/>
          <w:sz w:val="24"/>
          <w:szCs w:val="24"/>
          <w:shd w:fill="e06666" w:val="clear"/>
        </w:rPr>
      </w:pPr>
      <w:r w:rsidDel="00000000" w:rsidR="00000000" w:rsidRPr="00000000">
        <w:rPr>
          <w:rFonts w:ascii="Times New Roman" w:cs="Times New Roman" w:eastAsia="Times New Roman" w:hAnsi="Times New Roman"/>
          <w:i w:val="1"/>
          <w:color w:val="0000ff"/>
          <w:sz w:val="24"/>
          <w:szCs w:val="24"/>
          <w:shd w:fill="e06666" w:val="clear"/>
          <w:rtl w:val="0"/>
        </w:rPr>
        <w:t xml:space="preserve">AMENDMENT to (21) - Require a portion of Electric Universal Service Program (EUSP) funding be utilized to install residential rooftop solar systems on the homes of EUSP-eligible recipients recipients and/or to pay for community solar subscriptions to cover 100% of annual usage and eliminate their ongoing need for EUSP.</w:t>
      </w:r>
      <w:r w:rsidDel="00000000" w:rsidR="00000000" w:rsidRPr="00000000">
        <w:rPr>
          <w:rtl w:val="0"/>
        </w:rPr>
      </w:r>
    </w:p>
    <w:p w:rsidR="00000000" w:rsidDel="00000000" w:rsidP="00000000" w:rsidRDefault="00000000" w:rsidRPr="00000000" w14:paraId="00000040">
      <w:pPr>
        <w:numPr>
          <w:ilvl w:val="0"/>
          <w:numId w:val="1"/>
        </w:numPr>
        <w:ind w:left="72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Update codes for new construction (both residential and commercial) to require electrical wiring and electrical panels that are solar and EV-ready</w:t>
      </w:r>
      <w:r w:rsidDel="00000000" w:rsidR="00000000" w:rsidRPr="00000000">
        <w:rPr>
          <w:rtl w:val="0"/>
        </w:rPr>
      </w:r>
    </w:p>
    <w:p w:rsidR="00000000" w:rsidDel="00000000" w:rsidP="00000000" w:rsidRDefault="00000000" w:rsidRPr="00000000" w14:paraId="00000041">
      <w:pPr>
        <w:numPr>
          <w:ilvl w:val="0"/>
          <w:numId w:val="1"/>
        </w:numPr>
        <w:ind w:left="72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The Maryland Public Service Commission’s Energy Storage workgroup is encouraged to study energy storage as part of a virtual power plant solution, when paired with solar including evaluating utility and individual benefits and costs to ratepayers and rate structure options. Storage solutions incentivized by MEA may be in concert with solar and be virtual power plant ready.</w:t>
      </w: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RPS Reform (longterm)</w:t>
      </w:r>
      <w:r w:rsidDel="00000000" w:rsidR="00000000" w:rsidRPr="00000000">
        <w:rPr>
          <w:rtl w:val="0"/>
        </w:rPr>
      </w:r>
    </w:p>
    <w:p w:rsidR="00000000" w:rsidDel="00000000" w:rsidP="00000000" w:rsidRDefault="00000000" w:rsidRPr="00000000" w14:paraId="00000044">
      <w:pPr>
        <w:numPr>
          <w:ilvl w:val="0"/>
          <w:numId w:val="1"/>
        </w:numPr>
        <w:ind w:left="720" w:hanging="360"/>
        <w:rPr>
          <w:rFonts w:ascii="Times New Roman" w:cs="Times New Roman" w:eastAsia="Times New Roman" w:hAnsi="Times New Roman"/>
          <w:sz w:val="24"/>
          <w:szCs w:val="24"/>
          <w:shd w:fill="e06666" w:val="clear"/>
        </w:rPr>
      </w:pPr>
      <w:r w:rsidDel="00000000" w:rsidR="00000000" w:rsidRPr="00000000">
        <w:rPr>
          <w:rFonts w:ascii="Times New Roman" w:cs="Times New Roman" w:eastAsia="Times New Roman" w:hAnsi="Times New Roman"/>
          <w:color w:val="222222"/>
          <w:sz w:val="24"/>
          <w:szCs w:val="24"/>
          <w:shd w:fill="e06666" w:val="clear"/>
          <w:rtl w:val="0"/>
        </w:rPr>
        <w:t xml:space="preserve">RPS Reform in the 2024 legislative session</w:t>
      </w:r>
    </w:p>
    <w:p w:rsidR="00000000" w:rsidDel="00000000" w:rsidP="00000000" w:rsidRDefault="00000000" w:rsidRPr="00000000" w14:paraId="00000045">
      <w:pPr>
        <w:numPr>
          <w:ilvl w:val="1"/>
          <w:numId w:val="1"/>
        </w:numPr>
        <w:ind w:left="1440" w:hanging="360"/>
        <w:rPr>
          <w:rFonts w:ascii="Times New Roman" w:cs="Times New Roman" w:eastAsia="Times New Roman" w:hAnsi="Times New Roman"/>
          <w:sz w:val="24"/>
          <w:szCs w:val="24"/>
          <w:shd w:fill="e06666" w:val="clear"/>
        </w:rPr>
      </w:pPr>
      <w:r w:rsidDel="00000000" w:rsidR="00000000" w:rsidRPr="00000000">
        <w:rPr>
          <w:rFonts w:ascii="Times New Roman" w:cs="Times New Roman" w:eastAsia="Times New Roman" w:hAnsi="Times New Roman"/>
          <w:color w:val="ff0000"/>
          <w:sz w:val="24"/>
          <w:szCs w:val="24"/>
          <w:shd w:fill="e06666" w:val="clear"/>
          <w:rtl w:val="0"/>
        </w:rPr>
        <w:t xml:space="preserve">OPTION A</w:t>
      </w:r>
      <w:r w:rsidDel="00000000" w:rsidR="00000000" w:rsidRPr="00000000">
        <w:rPr>
          <w:rFonts w:ascii="Times New Roman" w:cs="Times New Roman" w:eastAsia="Times New Roman" w:hAnsi="Times New Roman"/>
          <w:color w:val="222222"/>
          <w:sz w:val="24"/>
          <w:szCs w:val="24"/>
          <w:shd w:fill="e06666" w:val="clear"/>
          <w:rtl w:val="0"/>
        </w:rPr>
        <w:t xml:space="preserve"> - The state should </w:t>
      </w:r>
      <w:r w:rsidDel="00000000" w:rsidR="00000000" w:rsidRPr="00000000">
        <w:rPr>
          <w:rFonts w:ascii="Times New Roman" w:cs="Times New Roman" w:eastAsia="Times New Roman" w:hAnsi="Times New Roman"/>
          <w:color w:val="222222"/>
          <w:sz w:val="24"/>
          <w:szCs w:val="24"/>
          <w:shd w:fill="e06666" w:val="clear"/>
          <w:rtl w:val="0"/>
        </w:rPr>
        <w:t xml:space="preserve">freeze</w:t>
      </w:r>
      <w:r w:rsidDel="00000000" w:rsidR="00000000" w:rsidRPr="00000000">
        <w:rPr>
          <w:rFonts w:ascii="Times New Roman" w:cs="Times New Roman" w:eastAsia="Times New Roman" w:hAnsi="Times New Roman"/>
          <w:color w:val="222222"/>
          <w:sz w:val="24"/>
          <w:szCs w:val="24"/>
          <w:shd w:fill="e06666" w:val="clear"/>
          <w:rtl w:val="0"/>
        </w:rPr>
        <w:t xml:space="preserve"> the ACP Schedule in the 2024 legislative session (no sunset provision).</w:t>
      </w:r>
    </w:p>
    <w:p w:rsidR="00000000" w:rsidDel="00000000" w:rsidP="00000000" w:rsidRDefault="00000000" w:rsidRPr="00000000" w14:paraId="00000046">
      <w:pPr>
        <w:numPr>
          <w:ilvl w:val="1"/>
          <w:numId w:val="1"/>
        </w:numPr>
        <w:ind w:left="1440" w:hanging="360"/>
        <w:rPr>
          <w:rFonts w:ascii="Times New Roman" w:cs="Times New Roman" w:eastAsia="Times New Roman" w:hAnsi="Times New Roman"/>
          <w:sz w:val="24"/>
          <w:szCs w:val="24"/>
          <w:shd w:fill="e06666" w:val="clear"/>
        </w:rPr>
      </w:pPr>
      <w:r w:rsidDel="00000000" w:rsidR="00000000" w:rsidRPr="00000000">
        <w:rPr>
          <w:rFonts w:ascii="Times New Roman" w:cs="Times New Roman" w:eastAsia="Times New Roman" w:hAnsi="Times New Roman"/>
          <w:color w:val="ff0000"/>
          <w:sz w:val="24"/>
          <w:szCs w:val="24"/>
          <w:shd w:fill="e06666" w:val="clear"/>
          <w:rtl w:val="0"/>
        </w:rPr>
        <w:t xml:space="preserve">OPTION B</w:t>
      </w:r>
      <w:r w:rsidDel="00000000" w:rsidR="00000000" w:rsidRPr="00000000">
        <w:rPr>
          <w:rFonts w:ascii="Times New Roman" w:cs="Times New Roman" w:eastAsia="Times New Roman" w:hAnsi="Times New Roman"/>
          <w:color w:val="222222"/>
          <w:sz w:val="24"/>
          <w:szCs w:val="24"/>
          <w:shd w:fill="e06666" w:val="clear"/>
          <w:rtl w:val="0"/>
        </w:rPr>
        <w:t xml:space="preserve"> - The state should </w:t>
      </w:r>
      <w:r w:rsidDel="00000000" w:rsidR="00000000" w:rsidRPr="00000000">
        <w:rPr>
          <w:rFonts w:ascii="Times New Roman" w:cs="Times New Roman" w:eastAsia="Times New Roman" w:hAnsi="Times New Roman"/>
          <w:color w:val="222222"/>
          <w:sz w:val="24"/>
          <w:szCs w:val="24"/>
          <w:shd w:fill="e06666" w:val="clear"/>
          <w:rtl w:val="0"/>
        </w:rPr>
        <w:t xml:space="preserve">increase</w:t>
      </w:r>
      <w:r w:rsidDel="00000000" w:rsidR="00000000" w:rsidRPr="00000000">
        <w:rPr>
          <w:rFonts w:ascii="Times New Roman" w:cs="Times New Roman" w:eastAsia="Times New Roman" w:hAnsi="Times New Roman"/>
          <w:color w:val="222222"/>
          <w:sz w:val="24"/>
          <w:szCs w:val="24"/>
          <w:shd w:fill="e06666" w:val="clear"/>
          <w:rtl w:val="0"/>
        </w:rPr>
        <w:t xml:space="preserve"> the ACP Schedule in the 2024 legislative session.</w:t>
      </w:r>
    </w:p>
    <w:p w:rsidR="00000000" w:rsidDel="00000000" w:rsidP="00000000" w:rsidRDefault="00000000" w:rsidRPr="00000000" w14:paraId="00000047">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Use of ACP Funds</w:t>
      </w:r>
    </w:p>
    <w:p w:rsidR="00000000" w:rsidDel="00000000" w:rsidP="00000000" w:rsidRDefault="00000000" w:rsidRPr="00000000" w14:paraId="00000049">
      <w:pPr>
        <w:numPr>
          <w:ilvl w:val="0"/>
          <w:numId w:val="1"/>
        </w:numPr>
        <w:ind w:left="72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ACP Funding Formula proposals: </w:t>
      </w:r>
    </w:p>
    <w:p w:rsidR="00000000" w:rsidDel="00000000" w:rsidP="00000000" w:rsidRDefault="00000000" w:rsidRPr="00000000" w14:paraId="0000004A">
      <w:pPr>
        <w:numPr>
          <w:ilvl w:val="1"/>
          <w:numId w:val="1"/>
        </w:numPr>
        <w:ind w:left="1440" w:hanging="360"/>
        <w:rPr>
          <w:rFonts w:ascii="Times New Roman" w:cs="Times New Roman" w:eastAsia="Times New Roman" w:hAnsi="Times New Roman"/>
          <w:color w:val="222222"/>
          <w:sz w:val="24"/>
          <w:szCs w:val="24"/>
          <w:shd w:fill="e06666" w:val="clear"/>
        </w:rPr>
      </w:pPr>
      <w:commentRangeStart w:id="0"/>
      <w:r w:rsidDel="00000000" w:rsidR="00000000" w:rsidRPr="00000000">
        <w:rPr>
          <w:rFonts w:ascii="Times New Roman" w:cs="Times New Roman" w:eastAsia="Times New Roman" w:hAnsi="Times New Roman"/>
          <w:sz w:val="24"/>
          <w:szCs w:val="24"/>
          <w:shd w:fill="e06666" w:val="clear"/>
          <w:rtl w:val="0"/>
        </w:rPr>
        <w:t xml:space="preserve">The</w:t>
      </w:r>
      <w:commentRangeEnd w:id="0"/>
      <w:r w:rsidDel="00000000" w:rsidR="00000000" w:rsidRPr="00000000">
        <w:commentReference w:id="0"/>
      </w:r>
      <w:r w:rsidDel="00000000" w:rsidR="00000000" w:rsidRPr="00000000">
        <w:rPr>
          <w:rFonts w:ascii="Times New Roman" w:cs="Times New Roman" w:eastAsia="Times New Roman" w:hAnsi="Times New Roman"/>
          <w:sz w:val="24"/>
          <w:szCs w:val="24"/>
          <w:shd w:fill="e06666" w:val="clear"/>
          <w:rtl w:val="0"/>
        </w:rPr>
        <w:t xml:space="preserve"> </w:t>
      </w:r>
      <w:r w:rsidDel="00000000" w:rsidR="00000000" w:rsidRPr="00000000">
        <w:rPr>
          <w:rFonts w:ascii="Times New Roman" w:cs="Times New Roman" w:eastAsia="Times New Roman" w:hAnsi="Times New Roman"/>
          <w:sz w:val="24"/>
          <w:szCs w:val="24"/>
          <w:shd w:fill="e06666" w:val="clear"/>
          <w:rtl w:val="0"/>
        </w:rPr>
        <w:t xml:space="preserve">ACP Funding formula should require that the State to reserve:</w:t>
      </w:r>
    </w:p>
    <w:p w:rsidR="00000000" w:rsidDel="00000000" w:rsidP="00000000" w:rsidRDefault="00000000" w:rsidRPr="00000000" w14:paraId="0000004B">
      <w:pPr>
        <w:numPr>
          <w:ilvl w:val="2"/>
          <w:numId w:val="1"/>
        </w:numPr>
        <w:ind w:left="2160" w:hanging="360"/>
        <w:rPr>
          <w:rFonts w:ascii="Times New Roman" w:cs="Times New Roman" w:eastAsia="Times New Roman" w:hAnsi="Times New Roman"/>
          <w:color w:val="222222"/>
          <w:sz w:val="24"/>
          <w:szCs w:val="24"/>
          <w:shd w:fill="e06666" w:val="clear"/>
        </w:rPr>
      </w:pPr>
      <w:r w:rsidDel="00000000" w:rsidR="00000000" w:rsidRPr="00000000">
        <w:rPr>
          <w:rFonts w:ascii="Times New Roman" w:cs="Times New Roman" w:eastAsia="Times New Roman" w:hAnsi="Times New Roman"/>
          <w:sz w:val="24"/>
          <w:szCs w:val="24"/>
          <w:shd w:fill="e06666" w:val="clear"/>
          <w:rtl w:val="0"/>
        </w:rPr>
        <w:t xml:space="preserve">60% of ACP funds to provide financial incentives for the development of community solar projects on rooftops and parking lots in and for low-income and disadvantaged communities, including community solar projects on the rooftops of multifamily residential properties; and</w:t>
      </w:r>
    </w:p>
    <w:p w:rsidR="00000000" w:rsidDel="00000000" w:rsidP="00000000" w:rsidRDefault="00000000" w:rsidRPr="00000000" w14:paraId="0000004C">
      <w:pPr>
        <w:numPr>
          <w:ilvl w:val="2"/>
          <w:numId w:val="1"/>
        </w:numPr>
        <w:ind w:left="2160" w:hanging="360"/>
        <w:rPr>
          <w:rFonts w:ascii="Times New Roman" w:cs="Times New Roman" w:eastAsia="Times New Roman" w:hAnsi="Times New Roman"/>
          <w:color w:val="222222"/>
          <w:sz w:val="24"/>
          <w:szCs w:val="24"/>
          <w:shd w:fill="e06666" w:val="clear"/>
        </w:rPr>
      </w:pPr>
      <w:r w:rsidDel="00000000" w:rsidR="00000000" w:rsidRPr="00000000">
        <w:rPr>
          <w:rFonts w:ascii="Times New Roman" w:cs="Times New Roman" w:eastAsia="Times New Roman" w:hAnsi="Times New Roman"/>
          <w:sz w:val="24"/>
          <w:szCs w:val="24"/>
          <w:shd w:fill="e06666" w:val="clear"/>
          <w:rtl w:val="0"/>
        </w:rPr>
        <w:t xml:space="preserve">40% of ACP funds to incentivize the development of single-family rooftop solar for low-income homeowners</w:t>
      </w:r>
      <w:r w:rsidDel="00000000" w:rsidR="00000000" w:rsidRPr="00000000">
        <w:rPr>
          <w:rFonts w:ascii="Times New Roman" w:cs="Times New Roman" w:eastAsia="Times New Roman" w:hAnsi="Times New Roman"/>
          <w:sz w:val="24"/>
          <w:szCs w:val="24"/>
          <w:shd w:fill="e06666" w:val="clear"/>
          <w:rtl w:val="0"/>
        </w:rPr>
        <w:t xml:space="preserve">.</w:t>
      </w:r>
    </w:p>
    <w:p w:rsidR="00000000" w:rsidDel="00000000" w:rsidP="00000000" w:rsidRDefault="00000000" w:rsidRPr="00000000" w14:paraId="0000004D">
      <w:pPr>
        <w:numPr>
          <w:ilvl w:val="1"/>
          <w:numId w:val="1"/>
        </w:numPr>
        <w:ind w:left="1440" w:hanging="360"/>
        <w:rPr>
          <w:rFonts w:ascii="Times New Roman" w:cs="Times New Roman" w:eastAsia="Times New Roman" w:hAnsi="Times New Roman"/>
          <w:sz w:val="24"/>
          <w:szCs w:val="24"/>
          <w:shd w:fill="e06666" w:val="clear"/>
        </w:rPr>
      </w:pPr>
      <w:r w:rsidDel="00000000" w:rsidR="00000000" w:rsidRPr="00000000">
        <w:rPr>
          <w:rFonts w:ascii="Times New Roman" w:cs="Times New Roman" w:eastAsia="Times New Roman" w:hAnsi="Times New Roman"/>
          <w:sz w:val="24"/>
          <w:szCs w:val="24"/>
          <w:shd w:fill="e06666" w:val="clear"/>
          <w:rtl w:val="0"/>
        </w:rPr>
        <w:t xml:space="preserve">The State should use multiple financing tools to incentivize priority community solar projects, with a focus on low-cost, long-term debt financing that can be recycled and re-deployed by the state for future programs. </w:t>
      </w:r>
    </w:p>
    <w:p w:rsidR="00000000" w:rsidDel="00000000" w:rsidP="00000000" w:rsidRDefault="00000000" w:rsidRPr="00000000" w14:paraId="0000004E">
      <w:pPr>
        <w:numPr>
          <w:ilvl w:val="2"/>
          <w:numId w:val="1"/>
        </w:numPr>
        <w:ind w:left="2160" w:hanging="360"/>
        <w:rPr>
          <w:rFonts w:ascii="Times New Roman" w:cs="Times New Roman" w:eastAsia="Times New Roman" w:hAnsi="Times New Roman"/>
          <w:sz w:val="24"/>
          <w:szCs w:val="24"/>
          <w:shd w:fill="e06666" w:val="clear"/>
        </w:rPr>
      </w:pPr>
      <w:r w:rsidDel="00000000" w:rsidR="00000000" w:rsidRPr="00000000">
        <w:rPr>
          <w:rFonts w:ascii="Times New Roman" w:cs="Times New Roman" w:eastAsia="Times New Roman" w:hAnsi="Times New Roman"/>
          <w:sz w:val="24"/>
          <w:szCs w:val="24"/>
          <w:shd w:fill="e06666" w:val="clear"/>
          <w:rtl w:val="0"/>
        </w:rPr>
        <w:t xml:space="preserve">60% of the next fiscal year’s allotment of ACP community solar funds should be reserved for a loan fund to be used to incentivize community solar development on the built environment, with priority placed on &lt;2 MW projects that are at least 50% low-income and offer a minimum 20% bill discount and/or are located on rooftops and parking lots. Loan terms could be tiered, with interest rates and term length being tied to priority project areas.</w:t>
      </w:r>
    </w:p>
    <w:p w:rsidR="00000000" w:rsidDel="00000000" w:rsidP="00000000" w:rsidRDefault="00000000" w:rsidRPr="00000000" w14:paraId="0000004F">
      <w:pPr>
        <w:numPr>
          <w:ilvl w:val="2"/>
          <w:numId w:val="1"/>
        </w:numPr>
        <w:ind w:left="2160" w:hanging="360"/>
        <w:rPr>
          <w:rFonts w:ascii="Times New Roman" w:cs="Times New Roman" w:eastAsia="Times New Roman" w:hAnsi="Times New Roman"/>
          <w:sz w:val="24"/>
          <w:szCs w:val="24"/>
          <w:shd w:fill="e06666" w:val="clear"/>
        </w:rPr>
      </w:pPr>
      <w:r w:rsidDel="00000000" w:rsidR="00000000" w:rsidRPr="00000000">
        <w:rPr>
          <w:rFonts w:ascii="Times New Roman" w:cs="Times New Roman" w:eastAsia="Times New Roman" w:hAnsi="Times New Roman"/>
          <w:sz w:val="24"/>
          <w:szCs w:val="24"/>
          <w:shd w:fill="e06666" w:val="clear"/>
          <w:rtl w:val="0"/>
        </w:rPr>
        <w:t xml:space="preserve">The remaining 40% should be reserved for grant funding.  Grant funding could be used as an additional financial incentive for projects where there is a limited repayment mechanism (battery storage) or to supplement low-cost financing for priority projects where project costs exceed what low-cost financing will allow (parking canopies, &lt;500 kW projects), or for enabling improvements which would prepare a building for the installation of solar panels for community solar projects described in 25(b)(i) above</w:t>
      </w:r>
    </w:p>
    <w:p w:rsidR="00000000" w:rsidDel="00000000" w:rsidP="00000000" w:rsidRDefault="00000000" w:rsidRPr="00000000" w14:paraId="00000050">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highlight w:val="green"/>
          <w:rtl w:val="0"/>
        </w:rPr>
        <w:t xml:space="preserve">MEA should </w:t>
      </w:r>
      <w:r w:rsidDel="00000000" w:rsidR="00000000" w:rsidRPr="00000000">
        <w:rPr>
          <w:rFonts w:ascii="Times New Roman" w:cs="Times New Roman" w:eastAsia="Times New Roman" w:hAnsi="Times New Roman"/>
          <w:sz w:val="24"/>
          <w:szCs w:val="24"/>
          <w:highlight w:val="green"/>
          <w:rtl w:val="0"/>
        </w:rPr>
        <w:t xml:space="preserve">make every effort to prioritize ACP funding for solar projects that have multiple co-benefits.</w:t>
      </w:r>
      <w:r w:rsidDel="00000000" w:rsidR="00000000" w:rsidRPr="00000000">
        <w:rPr>
          <w:rtl w:val="0"/>
        </w:rPr>
      </w:r>
    </w:p>
    <w:p w:rsidR="00000000" w:rsidDel="00000000" w:rsidP="00000000" w:rsidRDefault="00000000" w:rsidRPr="00000000" w14:paraId="00000051">
      <w:pPr>
        <w:numPr>
          <w:ilvl w:val="0"/>
          <w:numId w:val="1"/>
        </w:numPr>
        <w:ind w:left="720" w:hanging="360"/>
        <w:rPr>
          <w:rFonts w:ascii="Times New Roman" w:cs="Times New Roman" w:eastAsia="Times New Roman" w:hAnsi="Times New Roman"/>
          <w:sz w:val="24"/>
          <w:szCs w:val="24"/>
          <w:shd w:fill="e06666" w:val="clear"/>
        </w:rPr>
      </w:pPr>
      <w:r w:rsidDel="00000000" w:rsidR="00000000" w:rsidRPr="00000000">
        <w:rPr>
          <w:rFonts w:ascii="Times New Roman" w:cs="Times New Roman" w:eastAsia="Times New Roman" w:hAnsi="Times New Roman"/>
          <w:sz w:val="24"/>
          <w:szCs w:val="24"/>
          <w:shd w:fill="e06666" w:val="clear"/>
          <w:rtl w:val="0"/>
        </w:rPr>
        <w:t xml:space="preserve">ACP Acceptable Uses</w:t>
      </w:r>
    </w:p>
    <w:p w:rsidR="00000000" w:rsidDel="00000000" w:rsidP="00000000" w:rsidRDefault="00000000" w:rsidRPr="00000000" w14:paraId="00000052">
      <w:pPr>
        <w:numPr>
          <w:ilvl w:val="1"/>
          <w:numId w:val="1"/>
        </w:numPr>
        <w:ind w:left="1440" w:hanging="360"/>
        <w:rPr>
          <w:rFonts w:ascii="Times New Roman" w:cs="Times New Roman" w:eastAsia="Times New Roman" w:hAnsi="Times New Roman"/>
          <w:sz w:val="24"/>
          <w:szCs w:val="24"/>
          <w:shd w:fill="e06666" w:val="clear"/>
        </w:rPr>
      </w:pPr>
      <w:r w:rsidDel="00000000" w:rsidR="00000000" w:rsidRPr="00000000">
        <w:rPr>
          <w:rFonts w:ascii="Times New Roman" w:cs="Times New Roman" w:eastAsia="Times New Roman" w:hAnsi="Times New Roman"/>
          <w:sz w:val="24"/>
          <w:szCs w:val="24"/>
          <w:shd w:fill="e06666" w:val="clear"/>
          <w:rtl w:val="0"/>
        </w:rPr>
        <w:t xml:space="preserve">The state should allow ACP Funds to be utilized for installation of rooftop solar for low income households, as well as enabling improvements which would prepare a home for the installation of solar panels (i.e. roof repairs, electrical upgrades, structural repairs, etc.)</w:t>
      </w:r>
    </w:p>
    <w:p w:rsidR="00000000" w:rsidDel="00000000" w:rsidP="00000000" w:rsidRDefault="00000000" w:rsidRPr="00000000" w14:paraId="00000053">
      <w:pPr>
        <w:ind w:left="1440" w:firstLine="0"/>
        <w:rPr>
          <w:rFonts w:ascii="Times New Roman" w:cs="Times New Roman" w:eastAsia="Times New Roman" w:hAnsi="Times New Roman"/>
          <w:i w:val="1"/>
          <w:color w:val="0000ff"/>
          <w:sz w:val="24"/>
          <w:szCs w:val="24"/>
          <w:shd w:fill="e06666" w:val="clear"/>
        </w:rPr>
      </w:pPr>
      <w:r w:rsidDel="00000000" w:rsidR="00000000" w:rsidRPr="00000000">
        <w:rPr>
          <w:rFonts w:ascii="Times New Roman" w:cs="Times New Roman" w:eastAsia="Times New Roman" w:hAnsi="Times New Roman"/>
          <w:i w:val="1"/>
          <w:color w:val="0000ff"/>
          <w:sz w:val="24"/>
          <w:szCs w:val="24"/>
          <w:shd w:fill="e06666" w:val="clear"/>
          <w:rtl w:val="0"/>
        </w:rPr>
        <w:t xml:space="preserve">AMENDMENT to (26)(a) - The state should allow ACP Funds to be utilized for installation of rooftop and community solar for low income households, as well as enabling improvements which would prepare a home or other building for the installation of solar panels (i.e. roof repairs, electrical upgrades, structural repairs, etc.)</w:t>
      </w:r>
    </w:p>
    <w:p w:rsidR="00000000" w:rsidDel="00000000" w:rsidP="00000000" w:rsidRDefault="00000000" w:rsidRPr="00000000" w14:paraId="00000054">
      <w:pPr>
        <w:numPr>
          <w:ilvl w:val="1"/>
          <w:numId w:val="1"/>
        </w:numPr>
        <w:ind w:left="1440" w:hanging="360"/>
        <w:rPr>
          <w:rFonts w:ascii="Times New Roman" w:cs="Times New Roman" w:eastAsia="Times New Roman" w:hAnsi="Times New Roman"/>
          <w:sz w:val="24"/>
          <w:szCs w:val="24"/>
          <w:shd w:fill="e06666" w:val="clear"/>
        </w:rPr>
      </w:pPr>
      <w:r w:rsidDel="00000000" w:rsidR="00000000" w:rsidRPr="00000000">
        <w:rPr>
          <w:rFonts w:ascii="Times New Roman" w:cs="Times New Roman" w:eastAsia="Times New Roman" w:hAnsi="Times New Roman"/>
          <w:sz w:val="24"/>
          <w:szCs w:val="24"/>
          <w:shd w:fill="e06666" w:val="clear"/>
          <w:rtl w:val="0"/>
        </w:rPr>
        <w:t xml:space="preserve">The state should allow ACP Funds to be utilized for moderate-income households, while reserving at least 60% for low-income, underserved, and overburdened communities.  </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i w:val="1"/>
          <w:color w:val="0000ff"/>
          <w:sz w:val="24"/>
          <w:szCs w:val="24"/>
        </w:rPr>
      </w:pPr>
      <w:commentRangeStart w:id="1"/>
      <w:r w:rsidDel="00000000" w:rsidR="00000000" w:rsidRPr="00000000">
        <w:rPr>
          <w:rFonts w:ascii="Times New Roman" w:cs="Times New Roman" w:eastAsia="Times New Roman" w:hAnsi="Times New Roman"/>
          <w:b w:val="1"/>
          <w:sz w:val="24"/>
          <w:szCs w:val="24"/>
          <w:rtl w:val="0"/>
        </w:rPr>
        <w:t xml:space="preserve">Siting</w:t>
      </w:r>
      <w:commentRangeEnd w:id="1"/>
      <w:r w:rsidDel="00000000" w:rsidR="00000000" w:rsidRPr="00000000">
        <w:commentReference w:id="1"/>
      </w:r>
      <w:r w:rsidDel="00000000" w:rsidR="00000000" w:rsidRPr="00000000">
        <w:rPr>
          <w:rFonts w:ascii="Times New Roman" w:cs="Times New Roman" w:eastAsia="Times New Roman" w:hAnsi="Times New Roman"/>
          <w:b w:val="1"/>
          <w:sz w:val="24"/>
          <w:szCs w:val="24"/>
          <w:rtl w:val="0"/>
        </w:rPr>
        <w:t xml:space="preserve">/Permitting</w:t>
        <w:tab/>
      </w:r>
      <w:r w:rsidDel="00000000" w:rsidR="00000000" w:rsidRPr="00000000">
        <w:rPr>
          <w:rtl w:val="0"/>
        </w:rPr>
      </w:r>
    </w:p>
    <w:p w:rsidR="00000000" w:rsidDel="00000000" w:rsidP="00000000" w:rsidRDefault="00000000" w:rsidRPr="00000000" w14:paraId="00000057">
      <w:pPr>
        <w:numPr>
          <w:ilvl w:val="0"/>
          <w:numId w:val="1"/>
        </w:numPr>
        <w:ind w:left="720" w:hanging="360"/>
        <w:rPr>
          <w:rFonts w:ascii="Times New Roman" w:cs="Times New Roman" w:eastAsia="Times New Roman" w:hAnsi="Times New Roman"/>
          <w:sz w:val="24"/>
          <w:szCs w:val="24"/>
          <w:shd w:fill="e06666" w:val="clear"/>
        </w:rPr>
      </w:pPr>
      <w:r w:rsidDel="00000000" w:rsidR="00000000" w:rsidRPr="00000000">
        <w:rPr>
          <w:rFonts w:ascii="Times New Roman" w:cs="Times New Roman" w:eastAsia="Times New Roman" w:hAnsi="Times New Roman"/>
          <w:sz w:val="24"/>
          <w:szCs w:val="24"/>
          <w:shd w:fill="e06666" w:val="clear"/>
          <w:rtl w:val="0"/>
        </w:rPr>
        <w:t xml:space="preserve">For ground mount solar projects: </w:t>
      </w:r>
    </w:p>
    <w:p w:rsidR="00000000" w:rsidDel="00000000" w:rsidP="00000000" w:rsidRDefault="00000000" w:rsidRPr="00000000" w14:paraId="00000058">
      <w:pPr>
        <w:ind w:left="720" w:firstLine="0"/>
        <w:rPr>
          <w:rFonts w:ascii="Times New Roman" w:cs="Times New Roman" w:eastAsia="Times New Roman" w:hAnsi="Times New Roman"/>
          <w:i w:val="1"/>
          <w:sz w:val="24"/>
          <w:szCs w:val="24"/>
          <w:shd w:fill="e06666" w:val="clear"/>
        </w:rPr>
      </w:pPr>
      <w:r w:rsidDel="00000000" w:rsidR="00000000" w:rsidRPr="00000000">
        <w:rPr>
          <w:rFonts w:ascii="Times New Roman" w:cs="Times New Roman" w:eastAsia="Times New Roman" w:hAnsi="Times New Roman"/>
          <w:i w:val="1"/>
          <w:color w:val="0000ff"/>
          <w:sz w:val="24"/>
          <w:szCs w:val="24"/>
          <w:shd w:fill="e06666" w:val="clear"/>
          <w:rtl w:val="0"/>
        </w:rPr>
        <w:t xml:space="preserve">AMENDMENT to (12) - For non-residential ground mount solar projects:</w:t>
      </w:r>
      <w:r w:rsidDel="00000000" w:rsidR="00000000" w:rsidRPr="00000000">
        <w:rPr>
          <w:rFonts w:ascii="Times New Roman" w:cs="Times New Roman" w:eastAsia="Times New Roman" w:hAnsi="Times New Roman"/>
          <w:i w:val="1"/>
          <w:sz w:val="24"/>
          <w:szCs w:val="24"/>
          <w:shd w:fill="e06666" w:val="clear"/>
          <w:rtl w:val="0"/>
        </w:rPr>
        <w:t xml:space="preserve"> </w:t>
      </w:r>
    </w:p>
    <w:p w:rsidR="00000000" w:rsidDel="00000000" w:rsidP="00000000" w:rsidRDefault="00000000" w:rsidRPr="00000000" w14:paraId="00000059">
      <w:pPr>
        <w:numPr>
          <w:ilvl w:val="1"/>
          <w:numId w:val="1"/>
        </w:numPr>
        <w:ind w:left="1440" w:hanging="360"/>
        <w:rPr>
          <w:rFonts w:ascii="Times New Roman" w:cs="Times New Roman" w:eastAsia="Times New Roman" w:hAnsi="Times New Roman"/>
          <w:sz w:val="24"/>
          <w:szCs w:val="24"/>
          <w:shd w:fill="e06666" w:val="clear"/>
        </w:rPr>
      </w:pPr>
      <w:r w:rsidDel="00000000" w:rsidR="00000000" w:rsidRPr="00000000">
        <w:rPr>
          <w:rFonts w:ascii="Times New Roman" w:cs="Times New Roman" w:eastAsia="Times New Roman" w:hAnsi="Times New Roman"/>
          <w:color w:val="ff0000"/>
          <w:sz w:val="24"/>
          <w:szCs w:val="24"/>
          <w:shd w:fill="e06666" w:val="clear"/>
          <w:rtl w:val="0"/>
        </w:rPr>
        <w:t xml:space="preserve">OPTION A</w:t>
      </w:r>
      <w:r w:rsidDel="00000000" w:rsidR="00000000" w:rsidRPr="00000000">
        <w:rPr>
          <w:rFonts w:ascii="Times New Roman" w:cs="Times New Roman" w:eastAsia="Times New Roman" w:hAnsi="Times New Roman"/>
          <w:sz w:val="24"/>
          <w:szCs w:val="24"/>
          <w:shd w:fill="e06666" w:val="clear"/>
          <w:rtl w:val="0"/>
        </w:rPr>
        <w:t xml:space="preserve"> - State agencies s</w:t>
      </w:r>
      <w:r w:rsidDel="00000000" w:rsidR="00000000" w:rsidRPr="00000000">
        <w:rPr>
          <w:rFonts w:ascii="Times New Roman" w:cs="Times New Roman" w:eastAsia="Times New Roman" w:hAnsi="Times New Roman"/>
          <w:sz w:val="24"/>
          <w:szCs w:val="24"/>
          <w:shd w:fill="e06666" w:val="clear"/>
          <w:rtl w:val="0"/>
        </w:rPr>
        <w:t xml:space="preserve">et state-wide model permit design standards (setbacks, zoning, soil, etc) that local jurisdictions must follow, that includes public comment, considers state goals related to solar development, and considers environmental preservation guardrails</w:t>
      </w:r>
      <w:r w:rsidDel="00000000" w:rsidR="00000000" w:rsidRPr="00000000">
        <w:rPr>
          <w:rFonts w:ascii="Times New Roman" w:cs="Times New Roman" w:eastAsia="Times New Roman" w:hAnsi="Times New Roman"/>
          <w:sz w:val="24"/>
          <w:szCs w:val="24"/>
          <w:shd w:fill="e06666" w:val="clear"/>
          <w:rtl w:val="0"/>
        </w:rPr>
        <w:t xml:space="preserve">.</w:t>
      </w:r>
    </w:p>
    <w:p w:rsidR="00000000" w:rsidDel="00000000" w:rsidP="00000000" w:rsidRDefault="00000000" w:rsidRPr="00000000" w14:paraId="0000005A">
      <w:pPr>
        <w:ind w:left="1440" w:firstLine="0"/>
        <w:rPr>
          <w:rFonts w:ascii="Times New Roman" w:cs="Times New Roman" w:eastAsia="Times New Roman" w:hAnsi="Times New Roman"/>
          <w:i w:val="1"/>
          <w:color w:val="0000ff"/>
          <w:sz w:val="24"/>
          <w:szCs w:val="24"/>
          <w:shd w:fill="e06666" w:val="clear"/>
        </w:rPr>
      </w:pPr>
      <w:r w:rsidDel="00000000" w:rsidR="00000000" w:rsidRPr="00000000">
        <w:rPr>
          <w:rFonts w:ascii="Times New Roman" w:cs="Times New Roman" w:eastAsia="Times New Roman" w:hAnsi="Times New Roman"/>
          <w:i w:val="1"/>
          <w:color w:val="0000ff"/>
          <w:sz w:val="24"/>
          <w:szCs w:val="24"/>
          <w:shd w:fill="e06666" w:val="clear"/>
          <w:rtl w:val="0"/>
        </w:rPr>
        <w:t xml:space="preserve">AMENDMENT to (27)(a) - PSC s</w:t>
      </w:r>
      <w:r w:rsidDel="00000000" w:rsidR="00000000" w:rsidRPr="00000000">
        <w:rPr>
          <w:rFonts w:ascii="Times New Roman" w:cs="Times New Roman" w:eastAsia="Times New Roman" w:hAnsi="Times New Roman"/>
          <w:i w:val="1"/>
          <w:color w:val="0000ff"/>
          <w:sz w:val="24"/>
          <w:szCs w:val="24"/>
          <w:shd w:fill="e06666" w:val="clear"/>
          <w:rtl w:val="0"/>
        </w:rPr>
        <w:t xml:space="preserve">et state-wide model permit design standards (setbacks, zoning, soil, etc) that local jurisdictions must follow, that includes public comment, considers state goals related to solar development, and considers environmental preservation guardrails</w:t>
      </w:r>
      <w:r w:rsidDel="00000000" w:rsidR="00000000" w:rsidRPr="00000000">
        <w:rPr>
          <w:rFonts w:ascii="Times New Roman" w:cs="Times New Roman" w:eastAsia="Times New Roman" w:hAnsi="Times New Roman"/>
          <w:i w:val="1"/>
          <w:color w:val="0000ff"/>
          <w:sz w:val="24"/>
          <w:szCs w:val="24"/>
          <w:shd w:fill="e06666" w:val="clear"/>
          <w:rtl w:val="0"/>
        </w:rPr>
        <w:t xml:space="preserve">.</w:t>
      </w:r>
    </w:p>
    <w:p w:rsidR="00000000" w:rsidDel="00000000" w:rsidP="00000000" w:rsidRDefault="00000000" w:rsidRPr="00000000" w14:paraId="0000005B">
      <w:pPr>
        <w:numPr>
          <w:ilvl w:val="1"/>
          <w:numId w:val="1"/>
        </w:numPr>
        <w:ind w:left="1440" w:hanging="360"/>
        <w:rPr>
          <w:rFonts w:ascii="Times New Roman" w:cs="Times New Roman" w:eastAsia="Times New Roman" w:hAnsi="Times New Roman"/>
          <w:sz w:val="24"/>
          <w:szCs w:val="24"/>
          <w:shd w:fill="e06666" w:val="clear"/>
        </w:rPr>
      </w:pPr>
      <w:r w:rsidDel="00000000" w:rsidR="00000000" w:rsidRPr="00000000">
        <w:rPr>
          <w:rFonts w:ascii="Times New Roman" w:cs="Times New Roman" w:eastAsia="Times New Roman" w:hAnsi="Times New Roman"/>
          <w:color w:val="ff0000"/>
          <w:sz w:val="24"/>
          <w:szCs w:val="24"/>
          <w:shd w:fill="e06666" w:val="clear"/>
          <w:rtl w:val="0"/>
        </w:rPr>
        <w:t xml:space="preserve">OPTION B</w:t>
      </w:r>
      <w:r w:rsidDel="00000000" w:rsidR="00000000" w:rsidRPr="00000000">
        <w:rPr>
          <w:rFonts w:ascii="Times New Roman" w:cs="Times New Roman" w:eastAsia="Times New Roman" w:hAnsi="Times New Roman"/>
          <w:sz w:val="24"/>
          <w:szCs w:val="24"/>
          <w:shd w:fill="e06666" w:val="clear"/>
          <w:rtl w:val="0"/>
        </w:rPr>
        <w:t xml:space="preserve"> - State agencies set state-wide setbacks as follows:</w:t>
      </w:r>
    </w:p>
    <w:p w:rsidR="00000000" w:rsidDel="00000000" w:rsidP="00000000" w:rsidRDefault="00000000" w:rsidRPr="00000000" w14:paraId="0000005C">
      <w:pPr>
        <w:numPr>
          <w:ilvl w:val="2"/>
          <w:numId w:val="1"/>
        </w:numPr>
        <w:ind w:left="2160" w:hanging="360"/>
        <w:rPr>
          <w:rFonts w:ascii="Times New Roman" w:cs="Times New Roman" w:eastAsia="Times New Roman" w:hAnsi="Times New Roman"/>
          <w:sz w:val="24"/>
          <w:szCs w:val="24"/>
          <w:shd w:fill="e06666" w:val="clear"/>
        </w:rPr>
      </w:pPr>
      <w:r w:rsidDel="00000000" w:rsidR="00000000" w:rsidRPr="00000000">
        <w:rPr>
          <w:rFonts w:ascii="Times New Roman" w:cs="Times New Roman" w:eastAsia="Times New Roman" w:hAnsi="Times New Roman"/>
          <w:sz w:val="24"/>
          <w:szCs w:val="24"/>
          <w:shd w:fill="e06666" w:val="clear"/>
          <w:rtl w:val="0"/>
        </w:rPr>
        <w:t xml:space="preserve">Explicitly require the Commission to establish a </w:t>
      </w:r>
      <w:r w:rsidDel="00000000" w:rsidR="00000000" w:rsidRPr="00000000">
        <w:rPr>
          <w:rFonts w:ascii="Times New Roman" w:cs="Times New Roman" w:eastAsia="Times New Roman" w:hAnsi="Times New Roman"/>
          <w:sz w:val="24"/>
          <w:szCs w:val="24"/>
          <w:shd w:fill="e06666" w:val="clear"/>
          <w:rtl w:val="0"/>
        </w:rPr>
        <w:t xml:space="preserve">reasonable</w:t>
      </w:r>
      <w:r w:rsidDel="00000000" w:rsidR="00000000" w:rsidRPr="00000000">
        <w:rPr>
          <w:rFonts w:ascii="Times New Roman" w:cs="Times New Roman" w:eastAsia="Times New Roman" w:hAnsi="Times New Roman"/>
          <w:sz w:val="24"/>
          <w:szCs w:val="24"/>
          <w:shd w:fill="e06666" w:val="clear"/>
          <w:rtl w:val="0"/>
        </w:rPr>
        <w:t xml:space="preserve"> setback in each CPCN order.</w:t>
      </w:r>
    </w:p>
    <w:p w:rsidR="00000000" w:rsidDel="00000000" w:rsidP="00000000" w:rsidRDefault="00000000" w:rsidRPr="00000000" w14:paraId="0000005D">
      <w:pPr>
        <w:numPr>
          <w:ilvl w:val="2"/>
          <w:numId w:val="1"/>
        </w:numPr>
        <w:ind w:left="2160" w:hanging="360"/>
        <w:rPr>
          <w:rFonts w:ascii="Times New Roman" w:cs="Times New Roman" w:eastAsia="Times New Roman" w:hAnsi="Times New Roman"/>
          <w:sz w:val="24"/>
          <w:szCs w:val="24"/>
          <w:shd w:fill="e06666" w:val="clear"/>
        </w:rPr>
      </w:pPr>
      <w:r w:rsidDel="00000000" w:rsidR="00000000" w:rsidRPr="00000000">
        <w:rPr>
          <w:rFonts w:ascii="Times New Roman" w:cs="Times New Roman" w:eastAsia="Times New Roman" w:hAnsi="Times New Roman"/>
          <w:sz w:val="24"/>
          <w:szCs w:val="24"/>
          <w:shd w:fill="e06666" w:val="clear"/>
          <w:rtl w:val="0"/>
        </w:rPr>
        <w:t xml:space="preserve">Limit setbacks statewide for community solar 1MW-2MW</w:t>
      </w:r>
    </w:p>
    <w:p w:rsidR="00000000" w:rsidDel="00000000" w:rsidP="00000000" w:rsidRDefault="00000000" w:rsidRPr="00000000" w14:paraId="0000005E">
      <w:pPr>
        <w:ind w:left="1440" w:firstLine="0"/>
        <w:rPr>
          <w:rFonts w:ascii="Times New Roman" w:cs="Times New Roman" w:eastAsia="Times New Roman" w:hAnsi="Times New Roman"/>
          <w:i w:val="1"/>
          <w:color w:val="0000ff"/>
          <w:sz w:val="24"/>
          <w:szCs w:val="24"/>
          <w:shd w:fill="e06666" w:val="clear"/>
        </w:rPr>
      </w:pPr>
      <w:r w:rsidDel="00000000" w:rsidR="00000000" w:rsidRPr="00000000">
        <w:rPr>
          <w:rFonts w:ascii="Times New Roman" w:cs="Times New Roman" w:eastAsia="Times New Roman" w:hAnsi="Times New Roman"/>
          <w:i w:val="1"/>
          <w:color w:val="0000ff"/>
          <w:sz w:val="24"/>
          <w:szCs w:val="24"/>
          <w:shd w:fill="e06666" w:val="clear"/>
          <w:rtl w:val="0"/>
        </w:rPr>
        <w:t xml:space="preserve">AMENDMENT to (27)(b) PSC set state-wide setbacks: </w:t>
      </w:r>
    </w:p>
    <w:p w:rsidR="00000000" w:rsidDel="00000000" w:rsidP="00000000" w:rsidRDefault="00000000" w:rsidRPr="00000000" w14:paraId="0000005F">
      <w:pPr>
        <w:ind w:left="1440" w:firstLine="0"/>
        <w:rPr>
          <w:rFonts w:ascii="Times New Roman" w:cs="Times New Roman" w:eastAsia="Times New Roman" w:hAnsi="Times New Roman"/>
          <w:i w:val="1"/>
          <w:color w:val="0000ff"/>
          <w:sz w:val="24"/>
          <w:szCs w:val="24"/>
          <w:shd w:fill="e06666" w:val="clear"/>
        </w:rPr>
      </w:pPr>
      <w:r w:rsidDel="00000000" w:rsidR="00000000" w:rsidRPr="00000000">
        <w:rPr>
          <w:rFonts w:ascii="Times New Roman" w:cs="Times New Roman" w:eastAsia="Times New Roman" w:hAnsi="Times New Roman"/>
          <w:i w:val="1"/>
          <w:color w:val="0000ff"/>
          <w:sz w:val="24"/>
          <w:szCs w:val="24"/>
          <w:shd w:fill="e06666" w:val="clear"/>
          <w:rtl w:val="0"/>
        </w:rPr>
        <w:t xml:space="preserve">   i.  The PSC will establish statewide setback and other design standards for all </w:t>
      </w:r>
    </w:p>
    <w:p w:rsidR="00000000" w:rsidDel="00000000" w:rsidP="00000000" w:rsidRDefault="00000000" w:rsidRPr="00000000" w14:paraId="00000060">
      <w:pPr>
        <w:ind w:left="1440" w:firstLine="0"/>
        <w:rPr>
          <w:rFonts w:ascii="Times New Roman" w:cs="Times New Roman" w:eastAsia="Times New Roman" w:hAnsi="Times New Roman"/>
          <w:i w:val="1"/>
          <w:color w:val="0000ff"/>
          <w:sz w:val="24"/>
          <w:szCs w:val="24"/>
          <w:shd w:fill="e06666" w:val="clear"/>
        </w:rPr>
      </w:pPr>
      <w:r w:rsidDel="00000000" w:rsidR="00000000" w:rsidRPr="00000000">
        <w:rPr>
          <w:rFonts w:ascii="Times New Roman" w:cs="Times New Roman" w:eastAsia="Times New Roman" w:hAnsi="Times New Roman"/>
          <w:i w:val="1"/>
          <w:color w:val="0000ff"/>
          <w:sz w:val="24"/>
          <w:szCs w:val="24"/>
          <w:shd w:fill="e06666" w:val="clear"/>
          <w:rtl w:val="0"/>
        </w:rPr>
        <w:t xml:space="preserve">       projects greater than 100 kW </w:t>
      </w:r>
    </w:p>
    <w:p w:rsidR="00000000" w:rsidDel="00000000" w:rsidP="00000000" w:rsidRDefault="00000000" w:rsidRPr="00000000" w14:paraId="00000061">
      <w:pPr>
        <w:ind w:left="1440" w:firstLine="0"/>
        <w:rPr>
          <w:rFonts w:ascii="Times New Roman" w:cs="Times New Roman" w:eastAsia="Times New Roman" w:hAnsi="Times New Roman"/>
          <w:i w:val="1"/>
          <w:color w:val="0000ff"/>
          <w:sz w:val="24"/>
          <w:szCs w:val="24"/>
          <w:shd w:fill="e06666" w:val="clear"/>
        </w:rPr>
      </w:pPr>
      <w:r w:rsidDel="00000000" w:rsidR="00000000" w:rsidRPr="00000000">
        <w:rPr>
          <w:rFonts w:ascii="Times New Roman" w:cs="Times New Roman" w:eastAsia="Times New Roman" w:hAnsi="Times New Roman"/>
          <w:i w:val="1"/>
          <w:color w:val="0000ff"/>
          <w:sz w:val="24"/>
          <w:szCs w:val="24"/>
          <w:shd w:fill="e06666" w:val="clear"/>
          <w:rtl w:val="0"/>
        </w:rPr>
        <w:t xml:space="preserve">   ii.  Counties and AHJ's may challenge these statewide setbacks to the PSC for </w:t>
      </w:r>
    </w:p>
    <w:p w:rsidR="00000000" w:rsidDel="00000000" w:rsidP="00000000" w:rsidRDefault="00000000" w:rsidRPr="00000000" w14:paraId="00000062">
      <w:pPr>
        <w:ind w:left="1440" w:firstLine="0"/>
        <w:rPr>
          <w:rFonts w:ascii="Times New Roman" w:cs="Times New Roman" w:eastAsia="Times New Roman" w:hAnsi="Times New Roman"/>
          <w:i w:val="1"/>
          <w:color w:val="0000ff"/>
          <w:sz w:val="24"/>
          <w:szCs w:val="24"/>
          <w:shd w:fill="e06666" w:val="clear"/>
        </w:rPr>
      </w:pPr>
      <w:r w:rsidDel="00000000" w:rsidR="00000000" w:rsidRPr="00000000">
        <w:rPr>
          <w:rFonts w:ascii="Times New Roman" w:cs="Times New Roman" w:eastAsia="Times New Roman" w:hAnsi="Times New Roman"/>
          <w:i w:val="1"/>
          <w:color w:val="0000ff"/>
          <w:sz w:val="24"/>
          <w:szCs w:val="24"/>
          <w:shd w:fill="e06666" w:val="clear"/>
          <w:rtl w:val="0"/>
        </w:rPr>
        <w:t xml:space="preserve">        individual projects for good cause. </w:t>
      </w:r>
    </w:p>
    <w:p w:rsidR="00000000" w:rsidDel="00000000" w:rsidP="00000000" w:rsidRDefault="00000000" w:rsidRPr="00000000" w14:paraId="00000063">
      <w:pPr>
        <w:ind w:left="1440" w:firstLine="0"/>
        <w:rPr>
          <w:rFonts w:ascii="Times New Roman" w:cs="Times New Roman" w:eastAsia="Times New Roman" w:hAnsi="Times New Roman"/>
          <w:i w:val="1"/>
          <w:color w:val="0000ff"/>
          <w:sz w:val="24"/>
          <w:szCs w:val="24"/>
          <w:shd w:fill="e06666" w:val="clear"/>
        </w:rPr>
      </w:pPr>
      <w:r w:rsidDel="00000000" w:rsidR="00000000" w:rsidRPr="00000000">
        <w:rPr>
          <w:rFonts w:ascii="Times New Roman" w:cs="Times New Roman" w:eastAsia="Times New Roman" w:hAnsi="Times New Roman"/>
          <w:i w:val="1"/>
          <w:color w:val="0000ff"/>
          <w:sz w:val="24"/>
          <w:szCs w:val="24"/>
          <w:shd w:fill="e06666" w:val="clear"/>
          <w:rtl w:val="0"/>
        </w:rPr>
        <w:t xml:space="preserve">   iii.  Counties remain responsible for zoning and zoning exceptions.</w:t>
      </w:r>
    </w:p>
    <w:p w:rsidR="00000000" w:rsidDel="00000000" w:rsidP="00000000" w:rsidRDefault="00000000" w:rsidRPr="00000000" w14:paraId="00000064">
      <w:pPr>
        <w:numPr>
          <w:ilvl w:val="0"/>
          <w:numId w:val="1"/>
        </w:numPr>
        <w:ind w:left="720" w:hanging="360"/>
        <w:rPr>
          <w:rFonts w:ascii="Times New Roman" w:cs="Times New Roman" w:eastAsia="Times New Roman" w:hAnsi="Times New Roman"/>
          <w:sz w:val="24"/>
          <w:szCs w:val="24"/>
          <w:shd w:fill="e06666" w:val="clear"/>
        </w:rPr>
      </w:pPr>
      <w:r w:rsidDel="00000000" w:rsidR="00000000" w:rsidRPr="00000000">
        <w:rPr>
          <w:rFonts w:ascii="Times New Roman" w:cs="Times New Roman" w:eastAsia="Times New Roman" w:hAnsi="Times New Roman"/>
          <w:sz w:val="24"/>
          <w:szCs w:val="24"/>
          <w:shd w:fill="e06666" w:val="clear"/>
          <w:rtl w:val="0"/>
        </w:rPr>
        <w:t xml:space="preserve">Streamlining Licensing for Community Solar 2MW - 5W</w:t>
      </w:r>
      <w:r w:rsidDel="00000000" w:rsidR="00000000" w:rsidRPr="00000000">
        <w:rPr>
          <w:rtl w:val="0"/>
        </w:rPr>
      </w:r>
    </w:p>
    <w:p w:rsidR="00000000" w:rsidDel="00000000" w:rsidP="00000000" w:rsidRDefault="00000000" w:rsidRPr="00000000" w14:paraId="00000065">
      <w:pPr>
        <w:numPr>
          <w:ilvl w:val="1"/>
          <w:numId w:val="1"/>
        </w:numPr>
        <w:ind w:left="1440" w:hanging="360"/>
        <w:rPr>
          <w:rFonts w:ascii="Times New Roman" w:cs="Times New Roman" w:eastAsia="Times New Roman" w:hAnsi="Times New Roman"/>
          <w:sz w:val="24"/>
          <w:szCs w:val="24"/>
          <w:shd w:fill="e06666" w:val="clear"/>
        </w:rPr>
      </w:pPr>
      <w:r w:rsidDel="00000000" w:rsidR="00000000" w:rsidRPr="00000000">
        <w:rPr>
          <w:rFonts w:ascii="Times New Roman" w:cs="Times New Roman" w:eastAsia="Times New Roman" w:hAnsi="Times New Roman"/>
          <w:color w:val="ff0000"/>
          <w:sz w:val="24"/>
          <w:szCs w:val="24"/>
          <w:shd w:fill="e06666" w:val="clear"/>
          <w:rtl w:val="0"/>
        </w:rPr>
        <w:t xml:space="preserve">OPTION A</w:t>
      </w:r>
      <w:r w:rsidDel="00000000" w:rsidR="00000000" w:rsidRPr="00000000">
        <w:rPr>
          <w:rFonts w:ascii="Times New Roman" w:cs="Times New Roman" w:eastAsia="Times New Roman" w:hAnsi="Times New Roman"/>
          <w:sz w:val="24"/>
          <w:szCs w:val="24"/>
          <w:shd w:fill="e06666" w:val="clear"/>
          <w:rtl w:val="0"/>
        </w:rPr>
        <w:t xml:space="preserve"> - Establish a “DG-CPCN” License for community solar projects between 2MW - 5MW, that incorporates a “model permit design” and the standardized licensing conditions developed.  Increase personnel at PPRP to meet the anticipated workload associated with an increase in applications.</w:t>
      </w:r>
    </w:p>
    <w:p w:rsidR="00000000" w:rsidDel="00000000" w:rsidP="00000000" w:rsidRDefault="00000000" w:rsidRPr="00000000" w14:paraId="00000066">
      <w:pPr>
        <w:ind w:left="1440" w:firstLine="0"/>
        <w:rPr>
          <w:rFonts w:ascii="Times New Roman" w:cs="Times New Roman" w:eastAsia="Times New Roman" w:hAnsi="Times New Roman"/>
          <w:i w:val="1"/>
          <w:color w:val="0000ff"/>
          <w:sz w:val="24"/>
          <w:szCs w:val="24"/>
          <w:shd w:fill="e06666" w:val="clear"/>
        </w:rPr>
      </w:pPr>
      <w:r w:rsidDel="00000000" w:rsidR="00000000" w:rsidRPr="00000000">
        <w:rPr>
          <w:rFonts w:ascii="Times New Roman" w:cs="Times New Roman" w:eastAsia="Times New Roman" w:hAnsi="Times New Roman"/>
          <w:i w:val="1"/>
          <w:color w:val="0000ff"/>
          <w:sz w:val="24"/>
          <w:szCs w:val="24"/>
          <w:shd w:fill="e06666" w:val="clear"/>
          <w:rtl w:val="0"/>
        </w:rPr>
        <w:t xml:space="preserve">AMENDMENT to (28)(a) - Establish a “DG-CPCN” License for community solar projects between 2MW - 5MW, that incorporates a “model permit design” and the standardized licensing conditions developed.  Only allow the expedited review if there is no County or local opposition and the developer agrees to a Community Benefits Agreement or similar program that benefits the local community/County.</w:t>
      </w:r>
    </w:p>
    <w:p w:rsidR="00000000" w:rsidDel="00000000" w:rsidP="00000000" w:rsidRDefault="00000000" w:rsidRPr="00000000" w14:paraId="00000067">
      <w:pPr>
        <w:numPr>
          <w:ilvl w:val="1"/>
          <w:numId w:val="1"/>
        </w:numPr>
        <w:ind w:left="1440" w:hanging="360"/>
        <w:rPr>
          <w:rFonts w:ascii="Times New Roman" w:cs="Times New Roman" w:eastAsia="Times New Roman" w:hAnsi="Times New Roman"/>
          <w:sz w:val="24"/>
          <w:szCs w:val="24"/>
          <w:shd w:fill="e06666" w:val="clear"/>
        </w:rPr>
      </w:pPr>
      <w:r w:rsidDel="00000000" w:rsidR="00000000" w:rsidRPr="00000000">
        <w:rPr>
          <w:rFonts w:ascii="Times New Roman" w:cs="Times New Roman" w:eastAsia="Times New Roman" w:hAnsi="Times New Roman"/>
          <w:color w:val="ff0000"/>
          <w:sz w:val="24"/>
          <w:szCs w:val="24"/>
          <w:shd w:fill="e06666" w:val="clear"/>
          <w:rtl w:val="0"/>
        </w:rPr>
        <w:t xml:space="preserve">OPTION B</w:t>
      </w:r>
      <w:r w:rsidDel="00000000" w:rsidR="00000000" w:rsidRPr="00000000">
        <w:rPr>
          <w:rFonts w:ascii="Times New Roman" w:cs="Times New Roman" w:eastAsia="Times New Roman" w:hAnsi="Times New Roman"/>
          <w:sz w:val="24"/>
          <w:szCs w:val="24"/>
          <w:shd w:fill="e06666" w:val="clear"/>
          <w:rtl w:val="0"/>
        </w:rPr>
        <w:t xml:space="preserve"> - Update the Public Utilities Article that allows projects between 2MW - 5MW to have the option to permit either through the local process or through the PSC CPCN process.</w:t>
      </w:r>
    </w:p>
    <w:p w:rsidR="00000000" w:rsidDel="00000000" w:rsidP="00000000" w:rsidRDefault="00000000" w:rsidRPr="00000000" w14:paraId="00000068">
      <w:pPr>
        <w:numPr>
          <w:ilvl w:val="0"/>
          <w:numId w:val="1"/>
        </w:numPr>
        <w:ind w:left="720" w:hanging="360"/>
        <w:rPr>
          <w:rFonts w:ascii="Times New Roman" w:cs="Times New Roman" w:eastAsia="Times New Roman" w:hAnsi="Times New Roman"/>
          <w:sz w:val="24"/>
          <w:szCs w:val="24"/>
          <w:shd w:fill="e06666" w:val="clear"/>
        </w:rPr>
      </w:pPr>
      <w:r w:rsidDel="00000000" w:rsidR="00000000" w:rsidRPr="00000000">
        <w:rPr>
          <w:rFonts w:ascii="Times New Roman" w:cs="Times New Roman" w:eastAsia="Times New Roman" w:hAnsi="Times New Roman"/>
          <w:sz w:val="24"/>
          <w:szCs w:val="24"/>
          <w:shd w:fill="e06666" w:val="clear"/>
          <w:rtl w:val="0"/>
        </w:rPr>
        <w:t xml:space="preserve">Require</w:t>
      </w:r>
      <w:r w:rsidDel="00000000" w:rsidR="00000000" w:rsidRPr="00000000">
        <w:rPr>
          <w:rFonts w:ascii="Times New Roman" w:cs="Times New Roman" w:eastAsia="Times New Roman" w:hAnsi="Times New Roman"/>
          <w:sz w:val="24"/>
          <w:szCs w:val="24"/>
          <w:shd w:fill="e06666" w:val="clear"/>
          <w:rtl w:val="0"/>
        </w:rPr>
        <w:t xml:space="preserve"> MEA in concert with other State agencies to set a percentage of agricultural zoned land in each county that shall be made available for solar development in order to facilitate the State’s energy goals.</w:t>
      </w:r>
    </w:p>
    <w:p w:rsidR="00000000" w:rsidDel="00000000" w:rsidP="00000000" w:rsidRDefault="00000000" w:rsidRPr="00000000" w14:paraId="00000069">
      <w:pPr>
        <w:ind w:left="720" w:firstLine="0"/>
        <w:rPr>
          <w:rFonts w:ascii="Times New Roman" w:cs="Times New Roman" w:eastAsia="Times New Roman" w:hAnsi="Times New Roman"/>
          <w:i w:val="1"/>
          <w:color w:val="0000ff"/>
          <w:sz w:val="24"/>
          <w:szCs w:val="24"/>
          <w:shd w:fill="e06666" w:val="clear"/>
        </w:rPr>
      </w:pPr>
      <w:r w:rsidDel="00000000" w:rsidR="00000000" w:rsidRPr="00000000">
        <w:rPr>
          <w:rFonts w:ascii="Times New Roman" w:cs="Times New Roman" w:eastAsia="Times New Roman" w:hAnsi="Times New Roman"/>
          <w:i w:val="1"/>
          <w:color w:val="0000ff"/>
          <w:sz w:val="24"/>
          <w:szCs w:val="24"/>
          <w:shd w:fill="e06666" w:val="clear"/>
          <w:rtl w:val="0"/>
        </w:rPr>
        <w:t xml:space="preserve">AMENDMENT Option 1 to (29) - Require MEA in concert with other State agencies to set a percentage of land in each county that shall be made available for solar development in order to facilitate the State’s energy goals.</w:t>
      </w:r>
    </w:p>
    <w:p w:rsidR="00000000" w:rsidDel="00000000" w:rsidP="00000000" w:rsidRDefault="00000000" w:rsidRPr="00000000" w14:paraId="0000006A">
      <w:pPr>
        <w:ind w:left="720" w:firstLine="0"/>
        <w:rPr>
          <w:rFonts w:ascii="Times New Roman" w:cs="Times New Roman" w:eastAsia="Times New Roman" w:hAnsi="Times New Roman"/>
          <w:i w:val="1"/>
          <w:color w:val="0000ff"/>
          <w:sz w:val="24"/>
          <w:szCs w:val="24"/>
          <w:shd w:fill="e06666" w:val="clear"/>
        </w:rPr>
      </w:pPr>
      <w:r w:rsidDel="00000000" w:rsidR="00000000" w:rsidRPr="00000000">
        <w:rPr>
          <w:rFonts w:ascii="Times New Roman" w:cs="Times New Roman" w:eastAsia="Times New Roman" w:hAnsi="Times New Roman"/>
          <w:i w:val="1"/>
          <w:color w:val="0000ff"/>
          <w:sz w:val="24"/>
          <w:szCs w:val="24"/>
          <w:shd w:fill="e06666" w:val="clear"/>
          <w:rtl w:val="0"/>
        </w:rPr>
        <w:t xml:space="preserve">AMENDMENT OPTION 2 to (14) - Require MDP or the MDA in concert with other State agencies to set a percentage of agricultural land in each county that shall be made available for solar development in order to facilitate the State’s energy goals.</w:t>
      </w:r>
    </w:p>
    <w:p w:rsidR="00000000" w:rsidDel="00000000" w:rsidP="00000000" w:rsidRDefault="00000000" w:rsidRPr="00000000" w14:paraId="0000006B">
      <w:pPr>
        <w:numPr>
          <w:ilvl w:val="0"/>
          <w:numId w:val="1"/>
        </w:numPr>
        <w:ind w:left="720" w:hanging="360"/>
        <w:rPr>
          <w:rFonts w:ascii="Times New Roman" w:cs="Times New Roman" w:eastAsia="Times New Roman" w:hAnsi="Times New Roman"/>
          <w:sz w:val="24"/>
          <w:szCs w:val="24"/>
          <w:shd w:fill="e06666" w:val="clear"/>
        </w:rPr>
      </w:pPr>
      <w:r w:rsidDel="00000000" w:rsidR="00000000" w:rsidRPr="00000000">
        <w:rPr>
          <w:rFonts w:ascii="Times New Roman" w:cs="Times New Roman" w:eastAsia="Times New Roman" w:hAnsi="Times New Roman"/>
          <w:sz w:val="24"/>
          <w:szCs w:val="24"/>
          <w:shd w:fill="e06666" w:val="clear"/>
          <w:rtl w:val="0"/>
        </w:rPr>
        <w:t xml:space="preserve">Counties</w:t>
      </w:r>
      <w:r w:rsidDel="00000000" w:rsidR="00000000" w:rsidRPr="00000000">
        <w:rPr>
          <w:rFonts w:ascii="Times New Roman" w:cs="Times New Roman" w:eastAsia="Times New Roman" w:hAnsi="Times New Roman"/>
          <w:sz w:val="24"/>
          <w:szCs w:val="24"/>
          <w:shd w:fill="e06666" w:val="clear"/>
          <w:rtl w:val="0"/>
        </w:rPr>
        <w:t xml:space="preserve"> must adopt plans that allow for energy development with restrictions no more onerous than for new commercial or residential building developments.</w:t>
      </w:r>
    </w:p>
    <w:p w:rsidR="00000000" w:rsidDel="00000000" w:rsidP="00000000" w:rsidRDefault="00000000" w:rsidRPr="00000000" w14:paraId="0000006C">
      <w:pPr>
        <w:numPr>
          <w:ilvl w:val="0"/>
          <w:numId w:val="1"/>
        </w:numPr>
        <w:ind w:left="720" w:hanging="360"/>
        <w:rPr>
          <w:rFonts w:ascii="Times New Roman" w:cs="Times New Roman" w:eastAsia="Times New Roman" w:hAnsi="Times New Roman"/>
          <w:sz w:val="24"/>
          <w:szCs w:val="24"/>
          <w:shd w:fill="e06666" w:val="clear"/>
        </w:rPr>
      </w:pPr>
      <w:r w:rsidDel="00000000" w:rsidR="00000000" w:rsidRPr="00000000">
        <w:rPr>
          <w:rFonts w:ascii="Times New Roman" w:cs="Times New Roman" w:eastAsia="Times New Roman" w:hAnsi="Times New Roman"/>
          <w:sz w:val="24"/>
          <w:szCs w:val="24"/>
          <w:shd w:fill="e06666" w:val="clear"/>
          <w:rtl w:val="0"/>
        </w:rPr>
        <w:t xml:space="preserve">Require ground-mount solar in excess of 1 MW to meet the following criteria before the receipt of a final building permit:</w:t>
      </w:r>
    </w:p>
    <w:p w:rsidR="00000000" w:rsidDel="00000000" w:rsidP="00000000" w:rsidRDefault="00000000" w:rsidRPr="00000000" w14:paraId="0000006D">
      <w:pPr>
        <w:ind w:left="720" w:firstLine="0"/>
        <w:rPr>
          <w:rFonts w:ascii="Times New Roman" w:cs="Times New Roman" w:eastAsia="Times New Roman" w:hAnsi="Times New Roman"/>
          <w:i w:val="1"/>
          <w:color w:val="0000ff"/>
          <w:sz w:val="24"/>
          <w:szCs w:val="24"/>
          <w:shd w:fill="e06666" w:val="clear"/>
        </w:rPr>
      </w:pPr>
      <w:r w:rsidDel="00000000" w:rsidR="00000000" w:rsidRPr="00000000">
        <w:rPr>
          <w:rFonts w:ascii="Times New Roman" w:cs="Times New Roman" w:eastAsia="Times New Roman" w:hAnsi="Times New Roman"/>
          <w:i w:val="1"/>
          <w:color w:val="0000ff"/>
          <w:sz w:val="24"/>
          <w:szCs w:val="24"/>
          <w:shd w:fill="e06666" w:val="clear"/>
          <w:rtl w:val="0"/>
        </w:rPr>
        <w:t xml:space="preserve">AMENDMENT to (31) - Set standards and best practices for ground mounted solar projects above 1MW.  These standards may include, but are not limited to:</w:t>
      </w:r>
    </w:p>
    <w:p w:rsidR="00000000" w:rsidDel="00000000" w:rsidP="00000000" w:rsidRDefault="00000000" w:rsidRPr="00000000" w14:paraId="0000006E">
      <w:pPr>
        <w:numPr>
          <w:ilvl w:val="1"/>
          <w:numId w:val="1"/>
        </w:numPr>
        <w:ind w:left="1440" w:hanging="360"/>
        <w:rPr>
          <w:rFonts w:ascii="Times New Roman" w:cs="Times New Roman" w:eastAsia="Times New Roman" w:hAnsi="Times New Roman"/>
          <w:sz w:val="24"/>
          <w:szCs w:val="24"/>
          <w:shd w:fill="e06666" w:val="clear"/>
        </w:rPr>
      </w:pPr>
      <w:r w:rsidDel="00000000" w:rsidR="00000000" w:rsidRPr="00000000">
        <w:rPr>
          <w:rFonts w:ascii="Times New Roman" w:cs="Times New Roman" w:eastAsia="Times New Roman" w:hAnsi="Times New Roman"/>
          <w:sz w:val="24"/>
          <w:szCs w:val="24"/>
          <w:shd w:fill="e06666" w:val="clear"/>
          <w:rtl w:val="0"/>
        </w:rPr>
        <w:t xml:space="preserve">Ensure topsoil remains onsite, require native vegetative mix and other appropriate protections to maintain soil integrity.</w:t>
      </w:r>
    </w:p>
    <w:p w:rsidR="00000000" w:rsidDel="00000000" w:rsidP="00000000" w:rsidRDefault="00000000" w:rsidRPr="00000000" w14:paraId="0000006F">
      <w:pPr>
        <w:ind w:left="1440" w:firstLine="0"/>
        <w:rPr>
          <w:rFonts w:ascii="Times New Roman" w:cs="Times New Roman" w:eastAsia="Times New Roman" w:hAnsi="Times New Roman"/>
          <w:i w:val="1"/>
          <w:color w:val="0000ff"/>
          <w:sz w:val="24"/>
          <w:szCs w:val="24"/>
          <w:shd w:fill="e06666" w:val="clear"/>
        </w:rPr>
      </w:pPr>
      <w:r w:rsidDel="00000000" w:rsidR="00000000" w:rsidRPr="00000000">
        <w:rPr>
          <w:rFonts w:ascii="Times New Roman" w:cs="Times New Roman" w:eastAsia="Times New Roman" w:hAnsi="Times New Roman"/>
          <w:i w:val="1"/>
          <w:color w:val="0000ff"/>
          <w:sz w:val="24"/>
          <w:szCs w:val="24"/>
          <w:shd w:fill="e06666" w:val="clear"/>
          <w:rtl w:val="0"/>
        </w:rPr>
        <w:t xml:space="preserve">AMENDMENT to (31)(a) - Ensure topsoil remains onsite, require native vegetative mix or agrovoltaics and other appropriate protections to maintain soil integrity.</w:t>
      </w:r>
    </w:p>
    <w:p w:rsidR="00000000" w:rsidDel="00000000" w:rsidP="00000000" w:rsidRDefault="00000000" w:rsidRPr="00000000" w14:paraId="00000070">
      <w:pPr>
        <w:numPr>
          <w:ilvl w:val="1"/>
          <w:numId w:val="1"/>
        </w:numPr>
        <w:ind w:left="1440" w:hanging="360"/>
        <w:rPr>
          <w:rFonts w:ascii="Times New Roman" w:cs="Times New Roman" w:eastAsia="Times New Roman" w:hAnsi="Times New Roman"/>
          <w:sz w:val="24"/>
          <w:szCs w:val="24"/>
          <w:shd w:fill="e06666" w:val="clear"/>
        </w:rPr>
      </w:pPr>
      <w:r w:rsidDel="00000000" w:rsidR="00000000" w:rsidRPr="00000000">
        <w:rPr>
          <w:rFonts w:ascii="Times New Roman" w:cs="Times New Roman" w:eastAsia="Times New Roman" w:hAnsi="Times New Roman"/>
          <w:sz w:val="24"/>
          <w:szCs w:val="24"/>
          <w:shd w:fill="e06666" w:val="clear"/>
          <w:rtl w:val="0"/>
        </w:rPr>
        <w:t xml:space="preserve">Consider water run-off, pollution, and unnecessary soil compaction in the design and construction of projects.</w:t>
      </w:r>
    </w:p>
    <w:p w:rsidR="00000000" w:rsidDel="00000000" w:rsidP="00000000" w:rsidRDefault="00000000" w:rsidRPr="00000000" w14:paraId="00000071">
      <w:pPr>
        <w:ind w:left="1440" w:firstLine="0"/>
        <w:rPr>
          <w:rFonts w:ascii="Times New Roman" w:cs="Times New Roman" w:eastAsia="Times New Roman" w:hAnsi="Times New Roman"/>
          <w:i w:val="1"/>
          <w:color w:val="0000ff"/>
          <w:sz w:val="24"/>
          <w:szCs w:val="24"/>
          <w:shd w:fill="e06666" w:val="clear"/>
        </w:rPr>
      </w:pPr>
      <w:r w:rsidDel="00000000" w:rsidR="00000000" w:rsidRPr="00000000">
        <w:rPr>
          <w:rFonts w:ascii="Times New Roman" w:cs="Times New Roman" w:eastAsia="Times New Roman" w:hAnsi="Times New Roman"/>
          <w:i w:val="1"/>
          <w:color w:val="0000ff"/>
          <w:sz w:val="24"/>
          <w:szCs w:val="24"/>
          <w:shd w:fill="e06666" w:val="clear"/>
          <w:rtl w:val="0"/>
        </w:rPr>
        <w:t xml:space="preserve">AMENDMENT to (31)(b) - Require water run-off, pollution, and unnecessary soil compaction in the design and construction of projects.</w:t>
      </w:r>
    </w:p>
    <w:p w:rsidR="00000000" w:rsidDel="00000000" w:rsidP="00000000" w:rsidRDefault="00000000" w:rsidRPr="00000000" w14:paraId="00000072">
      <w:pPr>
        <w:numPr>
          <w:ilvl w:val="1"/>
          <w:numId w:val="1"/>
        </w:numPr>
        <w:ind w:left="1440" w:hanging="360"/>
        <w:rPr>
          <w:rFonts w:ascii="Times New Roman" w:cs="Times New Roman" w:eastAsia="Times New Roman" w:hAnsi="Times New Roman"/>
          <w:sz w:val="24"/>
          <w:szCs w:val="24"/>
          <w:shd w:fill="e06666" w:val="clear"/>
        </w:rPr>
      </w:pPr>
      <w:r w:rsidDel="00000000" w:rsidR="00000000" w:rsidRPr="00000000">
        <w:rPr>
          <w:rFonts w:ascii="Times New Roman" w:cs="Times New Roman" w:eastAsia="Times New Roman" w:hAnsi="Times New Roman"/>
          <w:sz w:val="24"/>
          <w:szCs w:val="24"/>
          <w:shd w:fill="e06666" w:val="clear"/>
          <w:rtl w:val="0"/>
        </w:rPr>
        <w:t xml:space="preserve">Comply with the Forest Conservation Act.</w:t>
      </w:r>
    </w:p>
    <w:p w:rsidR="00000000" w:rsidDel="00000000" w:rsidP="00000000" w:rsidRDefault="00000000" w:rsidRPr="00000000" w14:paraId="00000073">
      <w:pPr>
        <w:numPr>
          <w:ilvl w:val="1"/>
          <w:numId w:val="1"/>
        </w:numPr>
        <w:ind w:left="1440" w:hanging="360"/>
        <w:rPr>
          <w:rFonts w:ascii="Times New Roman" w:cs="Times New Roman" w:eastAsia="Times New Roman" w:hAnsi="Times New Roman"/>
          <w:sz w:val="24"/>
          <w:szCs w:val="24"/>
          <w:shd w:fill="e06666" w:val="clear"/>
        </w:rPr>
      </w:pPr>
      <w:r w:rsidDel="00000000" w:rsidR="00000000" w:rsidRPr="00000000">
        <w:rPr>
          <w:rFonts w:ascii="Times New Roman" w:cs="Times New Roman" w:eastAsia="Times New Roman" w:hAnsi="Times New Roman"/>
          <w:sz w:val="24"/>
          <w:szCs w:val="24"/>
          <w:shd w:fill="e06666" w:val="clear"/>
          <w:rtl w:val="0"/>
        </w:rPr>
        <w:t xml:space="preserve">Incorporate green infrastructure to manage stormwater runoff.</w:t>
      </w:r>
    </w:p>
    <w:p w:rsidR="00000000" w:rsidDel="00000000" w:rsidP="00000000" w:rsidRDefault="00000000" w:rsidRPr="00000000" w14:paraId="00000074">
      <w:pPr>
        <w:numPr>
          <w:ilvl w:val="1"/>
          <w:numId w:val="1"/>
        </w:numPr>
        <w:ind w:left="1440" w:hanging="360"/>
        <w:rPr>
          <w:rFonts w:ascii="Times New Roman" w:cs="Times New Roman" w:eastAsia="Times New Roman" w:hAnsi="Times New Roman"/>
          <w:sz w:val="24"/>
          <w:szCs w:val="24"/>
          <w:shd w:fill="e06666" w:val="clear"/>
        </w:rPr>
      </w:pPr>
      <w:r w:rsidDel="00000000" w:rsidR="00000000" w:rsidRPr="00000000">
        <w:rPr>
          <w:rFonts w:ascii="Times New Roman" w:cs="Times New Roman" w:eastAsia="Times New Roman" w:hAnsi="Times New Roman"/>
          <w:sz w:val="24"/>
          <w:szCs w:val="24"/>
          <w:shd w:fill="e06666" w:val="clear"/>
          <w:rtl w:val="0"/>
        </w:rPr>
        <w:t xml:space="preserve">Discourage the use of herbicide to control vegetation.</w:t>
      </w:r>
    </w:p>
    <w:p w:rsidR="00000000" w:rsidDel="00000000" w:rsidP="00000000" w:rsidRDefault="00000000" w:rsidRPr="00000000" w14:paraId="00000075">
      <w:pPr>
        <w:numPr>
          <w:ilvl w:val="1"/>
          <w:numId w:val="1"/>
        </w:numPr>
        <w:ind w:left="1440" w:hanging="360"/>
        <w:rPr>
          <w:rFonts w:ascii="Times New Roman" w:cs="Times New Roman" w:eastAsia="Times New Roman" w:hAnsi="Times New Roman"/>
          <w:sz w:val="24"/>
          <w:szCs w:val="24"/>
          <w:shd w:fill="e06666" w:val="clear"/>
        </w:rPr>
      </w:pPr>
      <w:r w:rsidDel="00000000" w:rsidR="00000000" w:rsidRPr="00000000">
        <w:rPr>
          <w:rFonts w:ascii="Times New Roman" w:cs="Times New Roman" w:eastAsia="Times New Roman" w:hAnsi="Times New Roman"/>
          <w:sz w:val="24"/>
          <w:szCs w:val="24"/>
          <w:shd w:fill="e06666" w:val="clear"/>
          <w:rtl w:val="0"/>
        </w:rPr>
        <w:t xml:space="preserve">Protect nearby natural resources and wildlife habitat of special significance.</w:t>
      </w:r>
    </w:p>
    <w:p w:rsidR="00000000" w:rsidDel="00000000" w:rsidP="00000000" w:rsidRDefault="00000000" w:rsidRPr="00000000" w14:paraId="00000076">
      <w:pPr>
        <w:numPr>
          <w:ilvl w:val="1"/>
          <w:numId w:val="1"/>
        </w:numPr>
        <w:ind w:left="1440" w:hanging="360"/>
        <w:rPr>
          <w:rFonts w:ascii="Times New Roman" w:cs="Times New Roman" w:eastAsia="Times New Roman" w:hAnsi="Times New Roman"/>
          <w:sz w:val="24"/>
          <w:szCs w:val="24"/>
          <w:shd w:fill="e06666" w:val="clear"/>
        </w:rPr>
      </w:pPr>
      <w:r w:rsidDel="00000000" w:rsidR="00000000" w:rsidRPr="00000000">
        <w:rPr>
          <w:rFonts w:ascii="Times New Roman" w:cs="Times New Roman" w:eastAsia="Times New Roman" w:hAnsi="Times New Roman"/>
          <w:sz w:val="24"/>
          <w:szCs w:val="24"/>
          <w:shd w:fill="e06666" w:val="clear"/>
          <w:rtl w:val="0"/>
        </w:rPr>
        <w:t xml:space="preserve">Construct arrays with co-benefits for crops, such as pollinator habitats, and animal husbandry whenever practical.</w:t>
      </w:r>
    </w:p>
    <w:p w:rsidR="00000000" w:rsidDel="00000000" w:rsidP="00000000" w:rsidRDefault="00000000" w:rsidRPr="00000000" w14:paraId="00000077">
      <w:pPr>
        <w:numPr>
          <w:ilvl w:val="1"/>
          <w:numId w:val="1"/>
        </w:numPr>
        <w:ind w:left="1440" w:hanging="360"/>
        <w:rPr>
          <w:rFonts w:ascii="Times New Roman" w:cs="Times New Roman" w:eastAsia="Times New Roman" w:hAnsi="Times New Roman"/>
          <w:sz w:val="24"/>
          <w:szCs w:val="24"/>
          <w:shd w:fill="e06666" w:val="clear"/>
        </w:rPr>
      </w:pPr>
      <w:r w:rsidDel="00000000" w:rsidR="00000000" w:rsidRPr="00000000">
        <w:rPr>
          <w:rFonts w:ascii="Times New Roman" w:cs="Times New Roman" w:eastAsia="Times New Roman" w:hAnsi="Times New Roman"/>
          <w:sz w:val="24"/>
          <w:szCs w:val="24"/>
          <w:shd w:fill="e06666" w:val="clear"/>
          <w:rtl w:val="0"/>
        </w:rPr>
        <w:t xml:space="preserve">Non-agrivoltaic projects shall be required to specify a seed mix underneath the solar array of native vegetation and pollinators in coordination with the Maryland Department of the Environment and require the submission of a vegetation management plan.</w:t>
      </w:r>
    </w:p>
    <w:p w:rsidR="00000000" w:rsidDel="00000000" w:rsidP="00000000" w:rsidRDefault="00000000" w:rsidRPr="00000000" w14:paraId="00000078">
      <w:pPr>
        <w:ind w:left="1440" w:firstLine="0"/>
        <w:rPr>
          <w:rFonts w:ascii="Times New Roman" w:cs="Times New Roman" w:eastAsia="Times New Roman" w:hAnsi="Times New Roman"/>
          <w:i w:val="1"/>
          <w:color w:val="0000ff"/>
          <w:sz w:val="24"/>
          <w:szCs w:val="24"/>
          <w:shd w:fill="e06666" w:val="clear"/>
        </w:rPr>
      </w:pPr>
      <w:r w:rsidDel="00000000" w:rsidR="00000000" w:rsidRPr="00000000">
        <w:rPr>
          <w:rFonts w:ascii="Times New Roman" w:cs="Times New Roman" w:eastAsia="Times New Roman" w:hAnsi="Times New Roman"/>
          <w:i w:val="1"/>
          <w:color w:val="0000ff"/>
          <w:sz w:val="24"/>
          <w:szCs w:val="24"/>
          <w:shd w:fill="e06666" w:val="clear"/>
          <w:rtl w:val="0"/>
        </w:rPr>
        <w:t xml:space="preserve">AMENDMENT to (31)(h) - Non-agrivoltaic projects shall be required to specify a seed mix underneath the solar array of non-invasive vegetation and pollinators in coordination with the Maryland Department of the Environment and require the submission of a vegetation management plan.</w:t>
      </w:r>
    </w:p>
    <w:p w:rsidR="00000000" w:rsidDel="00000000" w:rsidP="00000000" w:rsidRDefault="00000000" w:rsidRPr="00000000" w14:paraId="00000079">
      <w:pPr>
        <w:numPr>
          <w:ilvl w:val="1"/>
          <w:numId w:val="1"/>
        </w:numPr>
        <w:ind w:left="1440" w:hanging="360"/>
        <w:rPr>
          <w:rFonts w:ascii="Times New Roman" w:cs="Times New Roman" w:eastAsia="Times New Roman" w:hAnsi="Times New Roman"/>
          <w:sz w:val="24"/>
          <w:szCs w:val="24"/>
          <w:shd w:fill="e06666" w:val="clear"/>
        </w:rPr>
      </w:pPr>
      <w:r w:rsidDel="00000000" w:rsidR="00000000" w:rsidRPr="00000000">
        <w:rPr>
          <w:rFonts w:ascii="Times New Roman" w:cs="Times New Roman" w:eastAsia="Times New Roman" w:hAnsi="Times New Roman"/>
          <w:sz w:val="24"/>
          <w:szCs w:val="24"/>
          <w:shd w:fill="e06666" w:val="clear"/>
          <w:rtl w:val="0"/>
        </w:rPr>
        <w:t xml:space="preserve">Coordinate with all applicable State Agencies.</w:t>
      </w:r>
    </w:p>
    <w:p w:rsidR="00000000" w:rsidDel="00000000" w:rsidP="00000000" w:rsidRDefault="00000000" w:rsidRPr="00000000" w14:paraId="0000007A">
      <w:pPr>
        <w:numPr>
          <w:ilvl w:val="1"/>
          <w:numId w:val="1"/>
        </w:numPr>
        <w:ind w:left="1440" w:hanging="360"/>
        <w:rPr>
          <w:rFonts w:ascii="Times New Roman" w:cs="Times New Roman" w:eastAsia="Times New Roman" w:hAnsi="Times New Roman"/>
          <w:sz w:val="24"/>
          <w:szCs w:val="24"/>
          <w:shd w:fill="e06666" w:val="clear"/>
        </w:rPr>
      </w:pPr>
      <w:r w:rsidDel="00000000" w:rsidR="00000000" w:rsidRPr="00000000">
        <w:rPr>
          <w:rFonts w:ascii="Times New Roman" w:cs="Times New Roman" w:eastAsia="Times New Roman" w:hAnsi="Times New Roman"/>
          <w:sz w:val="24"/>
          <w:szCs w:val="24"/>
          <w:shd w:fill="e06666" w:val="clear"/>
          <w:rtl w:val="0"/>
        </w:rPr>
        <w:t xml:space="preserve">Provide the results of the United States Fish and Wildlife Service’s Information for Planning and Consulting environmental review or a comparable successor tool that is consistent with any applicable United States Fish and Wildlife Service solar wildlife guidelines that have been subject to public review</w:t>
      </w:r>
    </w:p>
    <w:p w:rsidR="00000000" w:rsidDel="00000000" w:rsidP="00000000" w:rsidRDefault="00000000" w:rsidRPr="00000000" w14:paraId="0000007B">
      <w:pPr>
        <w:numPr>
          <w:ilvl w:val="1"/>
          <w:numId w:val="1"/>
        </w:numPr>
        <w:ind w:left="1440" w:hanging="360"/>
        <w:rPr>
          <w:rFonts w:ascii="Times New Roman" w:cs="Times New Roman" w:eastAsia="Times New Roman" w:hAnsi="Times New Roman"/>
          <w:sz w:val="24"/>
          <w:szCs w:val="24"/>
          <w:shd w:fill="e06666" w:val="clear"/>
        </w:rPr>
      </w:pPr>
      <w:r w:rsidDel="00000000" w:rsidR="00000000" w:rsidRPr="00000000">
        <w:rPr>
          <w:rFonts w:ascii="Times New Roman" w:cs="Times New Roman" w:eastAsia="Times New Roman" w:hAnsi="Times New Roman"/>
          <w:sz w:val="24"/>
          <w:szCs w:val="24"/>
          <w:shd w:fill="e06666" w:val="clear"/>
          <w:rtl w:val="0"/>
        </w:rPr>
        <w:t xml:space="preserve">Host a Public Meeting and provide notice to the County as well as all parcels within ¼ mile of the project area</w:t>
      </w:r>
    </w:p>
    <w:p w:rsidR="00000000" w:rsidDel="00000000" w:rsidP="00000000" w:rsidRDefault="00000000" w:rsidRPr="00000000" w14:paraId="0000007C">
      <w:pPr>
        <w:numPr>
          <w:ilvl w:val="2"/>
          <w:numId w:val="1"/>
        </w:numPr>
        <w:ind w:left="2160" w:hanging="360"/>
        <w:rPr>
          <w:rFonts w:ascii="Times New Roman" w:cs="Times New Roman" w:eastAsia="Times New Roman" w:hAnsi="Times New Roman"/>
          <w:sz w:val="24"/>
          <w:szCs w:val="24"/>
          <w:shd w:fill="e06666" w:val="clear"/>
        </w:rPr>
      </w:pPr>
      <w:r w:rsidDel="00000000" w:rsidR="00000000" w:rsidRPr="00000000">
        <w:rPr>
          <w:rFonts w:ascii="Times New Roman" w:cs="Times New Roman" w:eastAsia="Times New Roman" w:hAnsi="Times New Roman"/>
          <w:sz w:val="24"/>
          <w:szCs w:val="24"/>
          <w:shd w:fill="e06666" w:val="clear"/>
          <w:rtl w:val="0"/>
        </w:rPr>
        <w:t xml:space="preserve">When developing projects in overburdened and underserved communities, as determined by the Maryland Department of the Environment’s environmental justice screening tool, additional public outreach and community consultation will be required.</w:t>
      </w:r>
      <w:r w:rsidDel="00000000" w:rsidR="00000000" w:rsidRPr="00000000">
        <w:rPr>
          <w:rtl w:val="0"/>
        </w:rPr>
      </w:r>
    </w:p>
    <w:p w:rsidR="00000000" w:rsidDel="00000000" w:rsidP="00000000" w:rsidRDefault="00000000" w:rsidRPr="00000000" w14:paraId="0000007D">
      <w:pPr>
        <w:ind w:left="720" w:firstLine="0"/>
        <w:rPr>
          <w:rFonts w:ascii="Times New Roman" w:cs="Times New Roman" w:eastAsia="Times New Roman" w:hAnsi="Times New Roman"/>
          <w:i w:val="1"/>
          <w:color w:val="0000ff"/>
          <w:sz w:val="24"/>
          <w:szCs w:val="24"/>
          <w:shd w:fill="e06666" w:val="clear"/>
        </w:rPr>
      </w:pPr>
      <w:r w:rsidDel="00000000" w:rsidR="00000000" w:rsidRPr="00000000">
        <w:rPr>
          <w:rFonts w:ascii="Times New Roman" w:cs="Times New Roman" w:eastAsia="Times New Roman" w:hAnsi="Times New Roman"/>
          <w:i w:val="1"/>
          <w:color w:val="0000ff"/>
          <w:sz w:val="24"/>
          <w:szCs w:val="24"/>
          <w:shd w:fill="e06666" w:val="clear"/>
          <w:rtl w:val="0"/>
        </w:rPr>
        <w:t xml:space="preserve">AMENDMENT to combine (31) and (32) - solar-specific laws and permitting guidelines to incorporate best practices for estimating and managing stormwater runoff from ground-mounted solar facilities, including but not limited to consideration of pre-construction, construction, and post-construction practices that will protect and maintain the integrity of soils, the health and infiltrative capacity of vegetative ground cover, and the potential benefits of green infrastructure.</w:t>
      </w:r>
    </w:p>
    <w:p w:rsidR="00000000" w:rsidDel="00000000" w:rsidP="00000000" w:rsidRDefault="00000000" w:rsidRPr="00000000" w14:paraId="0000007E">
      <w:pPr>
        <w:numPr>
          <w:ilvl w:val="0"/>
          <w:numId w:val="1"/>
        </w:numPr>
        <w:ind w:left="720" w:hanging="360"/>
        <w:rPr>
          <w:rFonts w:ascii="Times New Roman" w:cs="Times New Roman" w:eastAsia="Times New Roman" w:hAnsi="Times New Roman"/>
          <w:sz w:val="24"/>
          <w:szCs w:val="24"/>
          <w:shd w:fill="e06666" w:val="clear"/>
        </w:rPr>
      </w:pPr>
      <w:r w:rsidDel="00000000" w:rsidR="00000000" w:rsidRPr="00000000">
        <w:rPr>
          <w:rFonts w:ascii="Times New Roman" w:cs="Times New Roman" w:eastAsia="Times New Roman" w:hAnsi="Times New Roman"/>
          <w:sz w:val="24"/>
          <w:szCs w:val="24"/>
          <w:shd w:fill="e06666" w:val="clear"/>
          <w:rtl w:val="0"/>
        </w:rPr>
        <w:t xml:space="preserve">Update Maryland’s solar-specific laws and permitting guidelines to incorporate best practices for estimating and managing stormwater runoff.</w:t>
      </w:r>
    </w:p>
    <w:p w:rsidR="00000000" w:rsidDel="00000000" w:rsidP="00000000" w:rsidRDefault="00000000" w:rsidRPr="00000000" w14:paraId="0000007F">
      <w:pPr>
        <w:numPr>
          <w:ilvl w:val="0"/>
          <w:numId w:val="1"/>
        </w:numPr>
        <w:ind w:left="720" w:hanging="360"/>
        <w:rPr>
          <w:rFonts w:ascii="Times New Roman" w:cs="Times New Roman" w:eastAsia="Times New Roman" w:hAnsi="Times New Roman"/>
          <w:sz w:val="24"/>
          <w:szCs w:val="24"/>
          <w:shd w:fill="e06666" w:val="clear"/>
        </w:rPr>
      </w:pPr>
      <w:r w:rsidDel="00000000" w:rsidR="00000000" w:rsidRPr="00000000">
        <w:rPr>
          <w:rFonts w:ascii="Times New Roman" w:cs="Times New Roman" w:eastAsia="Times New Roman" w:hAnsi="Times New Roman"/>
          <w:sz w:val="24"/>
          <w:szCs w:val="24"/>
          <w:shd w:fill="e06666" w:val="clear"/>
          <w:rtl w:val="0"/>
        </w:rPr>
        <w:t xml:space="preserve">Create an ombudsman position at MEA or PSC for questions and concerns regarding the implementation of permitting and siting, to serve as a mediator for conflicts between applicants and counties.</w:t>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footerReference r:id="rId9" w:type="first"/>
      <w:pgSz w:h="15840" w:w="12240" w:orient="portrait"/>
      <w:pgMar w:bottom="1440" w:top="1440" w:left="1440" w:right="1440" w:header="720" w:footer="72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Evie Schwartz -MEA-" w:id="1" w:date="2024-01-08T05:27:16Z">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Specific recommendations on solar siting were not adopted, but there was consensus that the report must reflect the general lessons learned from the discussions on solar siting.</w:t>
      </w:r>
    </w:p>
  </w:comment>
  <w:comment w:author="Evie Schwartz -MEA-" w:id="0" w:date="2024-01-08T05:24:12Z">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Specific percentage breakdowns between priorities for ACP funds were not adopted, but there was consensus that the report should reflect a general statement that MEA must be conscientious to employ ACP funding to:</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support multiple project types, including community solar and single-family rooftop solar;</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support multiple financing tools, including grant and loan programs.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Task Force to Study Solar Incentives</w:t>
      <w:br w:type="textWrapping"/>
      <w:t xml:space="preserve">Recommendations List for Consideration</w:t>
    </w:r>
  </w:p>
  <w:p w:rsidR="00000000" w:rsidDel="00000000" w:rsidP="00000000" w:rsidRDefault="00000000" w:rsidRPr="00000000" w14:paraId="00000086">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Results after 1/5/24 Final Meeting / Voting adjourned</w:t>
    </w:r>
  </w:p>
  <w:p w:rsidR="00000000" w:rsidDel="00000000" w:rsidP="00000000" w:rsidRDefault="00000000" w:rsidRPr="00000000" w14:paraId="00000087">
    <w:pPr>
      <w:spacing w:after="240"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To submit additional comments, please contact </w:t>
    </w:r>
    <w:hyperlink r:id="rId1">
      <w:r w:rsidDel="00000000" w:rsidR="00000000" w:rsidRPr="00000000">
        <w:rPr>
          <w:rFonts w:ascii="Times New Roman" w:cs="Times New Roman" w:eastAsia="Times New Roman" w:hAnsi="Times New Roman"/>
          <w:color w:val="1155cc"/>
          <w:sz w:val="20"/>
          <w:szCs w:val="20"/>
          <w:u w:val="single"/>
          <w:rtl w:val="0"/>
        </w:rPr>
        <w:t xml:space="preserve">SolarTaskForce.MEA@Maryland.gov</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t>
      <w:br w:type="textWrapping"/>
    </w:r>
    <w:r w:rsidDel="00000000" w:rsidR="00000000" w:rsidRPr="00000000">
      <w:rPr>
        <w:rFonts w:ascii="Times New Roman" w:cs="Times New Roman" w:eastAsia="Times New Roman" w:hAnsi="Times New Roman"/>
        <w:sz w:val="24"/>
        <w:szCs w:val="24"/>
        <w:highlight w:val="green"/>
        <w:rtl w:val="0"/>
      </w:rPr>
      <w:t xml:space="preserve">Items Adopted (majority of members present voted YES)</w:t>
    </w: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e06666" w:val="clear"/>
        <w:rtl w:val="0"/>
      </w:rPr>
      <w:t xml:space="preserve">Items NOT Adopted (majority of members present voted NO or ABSTAINED; or there was no motion to vote)</w:t>
    </w: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4"/>
        <w:szCs w:val="24"/>
        <w:highlight w:val="yellow"/>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comments" Target="comments.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numbering" Target="numbering.xml"/><Relationship Id="rId10" Type="http://schemas.openxmlformats.org/officeDocument/2006/relationships/customXml" Target="../customXml/item1.xml"/><Relationship Id="rId4" Type="http://schemas.openxmlformats.org/officeDocument/2006/relationships/fontTable" Target="fontTable.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mailto:SolarTaskForce.MEA@Marylan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6463BC55611C469CEDABDE6104E5EF" ma:contentTypeVersion="1" ma:contentTypeDescription="Create a new document." ma:contentTypeScope="" ma:versionID="599a758b4d8c3a9727cb2e42395f621f">
  <xsd:schema xmlns:xsd="http://www.w3.org/2001/XMLSchema" xmlns:xs="http://www.w3.org/2001/XMLSchema" xmlns:p="http://schemas.microsoft.com/office/2006/metadata/properties" targetNamespace="http://schemas.microsoft.com/office/2006/metadata/properties" ma:root="true" ma:fieldsID="7dcc10a156eb2aa295318eab019ded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01ED79-AC0C-43C3-8517-B514CC210B40}"/>
</file>

<file path=customXml/itemProps2.xml><?xml version="1.0" encoding="utf-8"?>
<ds:datastoreItem xmlns:ds="http://schemas.openxmlformats.org/officeDocument/2006/customXml" ds:itemID="{E2CAF830-BA04-4C2C-B798-250774B701F7}"/>
</file>

<file path=customXml/itemProps3.xml><?xml version="1.0" encoding="utf-8"?>
<ds:datastoreItem xmlns:ds="http://schemas.openxmlformats.org/officeDocument/2006/customXml" ds:itemID="{327D3A30-25A4-456D-AF21-ABD930883DE3}"/>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0x010100A96463BC55611C469CEDABDE6104E5EF</vt:lpwstr>
  </property>
</Properties>
</file>