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sz w:val="24"/>
          <w:szCs w:val="24"/>
          <w:rtl w:val="0"/>
        </w:rPr>
        <w:t xml:space="preserve">Tax</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Incentives</w:t>
      </w: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Creation of a personal property tax exemption for non-residential rooftop and parking canopy solar installations.</w:t>
      </w:r>
      <w:r w:rsidDel="00000000" w:rsidR="00000000" w:rsidRPr="00000000">
        <w:rPr>
          <w:rFonts w:ascii="Times New Roman" w:cs="Times New Roman" w:eastAsia="Times New Roman" w:hAnsi="Times New Roman"/>
          <w:sz w:val="24"/>
          <w:szCs w:val="24"/>
          <w:highlight w:val="green"/>
          <w:rtl w:val="0"/>
        </w:rPr>
        <w:t xml:space="preserve">.</w:t>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Permissive grant of authority for local jurisdictions to offer assessment abatements for real property that is host to a solar parking canopy. </w:t>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Change from the current taxing structure of real property and personal property taxes to a P.I.L.O.T. for ground-mounted solar installations.</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State should extend the sunset provision for the property tax exemption for certain community solar installations</w:t>
      </w:r>
    </w:p>
    <w:p w:rsidR="00000000" w:rsidDel="00000000" w:rsidP="00000000" w:rsidRDefault="00000000" w:rsidRPr="00000000" w14:paraId="00000007">
      <w:pP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Permitting</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For</w:t>
      </w:r>
      <w:r w:rsidDel="00000000" w:rsidR="00000000" w:rsidRPr="00000000">
        <w:rPr>
          <w:rFonts w:ascii="Times New Roman" w:cs="Times New Roman" w:eastAsia="Times New Roman" w:hAnsi="Times New Roman"/>
          <w:sz w:val="24"/>
          <w:szCs w:val="24"/>
          <w:highlight w:val="green"/>
          <w:rtl w:val="0"/>
        </w:rPr>
        <w:t xml:space="preserve"> residential permitting - require all local jurisdiction permitting authorities to adopt an online standardized permit process including, but not limited to, Solar App+</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Interconnection</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Utilities should eliminate the use of aggregate circuit capacity limits, and replace them with a hosting-capacity based screening methodology.</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Interconnection fee </w:t>
      </w:r>
      <w:r w:rsidDel="00000000" w:rsidR="00000000" w:rsidRPr="00000000">
        <w:rPr>
          <w:rFonts w:ascii="Times New Roman" w:cs="Times New Roman" w:eastAsia="Times New Roman" w:hAnsi="Times New Roman"/>
          <w:sz w:val="24"/>
          <w:szCs w:val="24"/>
          <w:highlight w:val="green"/>
          <w:rtl w:val="0"/>
        </w:rPr>
        <w:t xml:space="preserve">structure</w:t>
      </w:r>
      <w:r w:rsidDel="00000000" w:rsidR="00000000" w:rsidRPr="00000000">
        <w:rPr>
          <w:rFonts w:ascii="Times New Roman" w:cs="Times New Roman" w:eastAsia="Times New Roman" w:hAnsi="Times New Roman"/>
          <w:sz w:val="24"/>
          <w:szCs w:val="24"/>
          <w:highlight w:val="green"/>
          <w:rtl w:val="0"/>
        </w:rPr>
        <w:t xml:space="preserve"> - Support moving from a causer-pays model to a fee model where costs are distributed among those who benefit from the grid upgrades.</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Increase net metering cap from 2MW-AC to 5MW-AC.</w:t>
      </w:r>
      <w:r w:rsidDel="00000000" w:rsidR="00000000" w:rsidRPr="00000000">
        <w:rPr>
          <w:rtl w:val="0"/>
        </w:rPr>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Encourage the Public Service Commission to allow meter collar adapters</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Raise</w:t>
      </w:r>
      <w:r w:rsidDel="00000000" w:rsidR="00000000" w:rsidRPr="00000000">
        <w:rPr>
          <w:rFonts w:ascii="Times New Roman" w:cs="Times New Roman" w:eastAsia="Times New Roman" w:hAnsi="Times New Roman"/>
          <w:sz w:val="24"/>
          <w:szCs w:val="24"/>
          <w:shd w:fill="e06666" w:val="clear"/>
          <w:rtl w:val="0"/>
        </w:rPr>
        <w:t xml:space="preserve"> existing net metering capacity cap of </w:t>
      </w:r>
      <w:r w:rsidDel="00000000" w:rsidR="00000000" w:rsidRPr="00000000">
        <w:rPr>
          <w:rFonts w:ascii="Times New Roman" w:cs="Times New Roman" w:eastAsia="Times New Roman" w:hAnsi="Times New Roman"/>
          <w:sz w:val="24"/>
          <w:szCs w:val="24"/>
          <w:shd w:fill="e06666" w:val="clear"/>
          <w:rtl w:val="0"/>
        </w:rPr>
        <w:t xml:space="preserve">3000</w:t>
      </w:r>
      <w:r w:rsidDel="00000000" w:rsidR="00000000" w:rsidRPr="00000000">
        <w:rPr>
          <w:rFonts w:ascii="Times New Roman" w:cs="Times New Roman" w:eastAsia="Times New Roman" w:hAnsi="Times New Roman"/>
          <w:sz w:val="24"/>
          <w:szCs w:val="24"/>
          <w:shd w:fill="e06666" w:val="clear"/>
          <w:rtl w:val="0"/>
        </w:rPr>
        <w:t xml:space="preserve"> MW</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Interconnection</w:t>
      </w:r>
      <w:r w:rsidDel="00000000" w:rsidR="00000000" w:rsidRPr="00000000">
        <w:rPr>
          <w:rFonts w:ascii="Times New Roman" w:cs="Times New Roman" w:eastAsia="Times New Roman" w:hAnsi="Times New Roman"/>
          <w:sz w:val="24"/>
          <w:szCs w:val="24"/>
          <w:highlight w:val="green"/>
          <w:rtl w:val="0"/>
        </w:rPr>
        <w:t xml:space="preserve"> application for Community Solar projects - remove requirement to include Subscriber Organization info at time of interconnection application. Allow this to be selected/added later.</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MBE</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State should conduct a Disparity Study Analysis of a) the availability of businesses</w:t>
      </w:r>
      <w:r w:rsidDel="00000000" w:rsidR="00000000" w:rsidRPr="00000000">
        <w:rPr>
          <w:rFonts w:ascii="Times New Roman" w:cs="Times New Roman" w:eastAsia="Times New Roman" w:hAnsi="Times New Roman"/>
          <w:sz w:val="24"/>
          <w:szCs w:val="24"/>
          <w:highlight w:val="green"/>
          <w:rtl w:val="0"/>
        </w:rPr>
        <w:t xml:space="preserve"> and non-profit organizations</w:t>
      </w:r>
      <w:r w:rsidDel="00000000" w:rsidR="00000000" w:rsidRPr="00000000">
        <w:rPr>
          <w:rFonts w:ascii="Times New Roman" w:cs="Times New Roman" w:eastAsia="Times New Roman" w:hAnsi="Times New Roman"/>
          <w:sz w:val="24"/>
          <w:szCs w:val="24"/>
          <w:highlight w:val="green"/>
          <w:rtl w:val="0"/>
        </w:rPr>
        <w:t xml:space="preserve"> owned by minorities and women in the solar industry and b) the utilization of </w:t>
      </w:r>
      <w:r w:rsidDel="00000000" w:rsidR="00000000" w:rsidRPr="00000000">
        <w:rPr>
          <w:rFonts w:ascii="Times New Roman" w:cs="Times New Roman" w:eastAsia="Times New Roman" w:hAnsi="Times New Roman"/>
          <w:sz w:val="24"/>
          <w:szCs w:val="24"/>
          <w:highlight w:val="green"/>
          <w:rtl w:val="0"/>
        </w:rPr>
        <w:t xml:space="preserve">these entities</w:t>
      </w:r>
      <w:r w:rsidDel="00000000" w:rsidR="00000000" w:rsidRPr="00000000">
        <w:rPr>
          <w:rFonts w:ascii="Times New Roman" w:cs="Times New Roman" w:eastAsia="Times New Roman" w:hAnsi="Times New Roman"/>
          <w:sz w:val="24"/>
          <w:szCs w:val="24"/>
          <w:highlight w:val="green"/>
          <w:rtl w:val="0"/>
        </w:rPr>
        <w:t xml:space="preserve"> as contractors and subcontractors in the Maryland solar marketplace.  </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Workforce</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Require the State to adopt into code the federal prevailing wage charges as put forth in the IRA.  </w:t>
      </w:r>
    </w:p>
    <w:p w:rsidR="00000000" w:rsidDel="00000000" w:rsidP="00000000" w:rsidRDefault="00000000" w:rsidRPr="00000000" w14:paraId="00000018">
      <w:pPr>
        <w:ind w:left="72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Specifically, to receive increased credit and deduction amounts under the IRA, workers must be paid the local prevailing wage, defined in accordance with Department of Labor standards, for work on facility construction, as well as for alterations and repairs in a five-to-twelve-year period, depending on the credit, after a facility is placed in service.  The IRA also establishes punishments and penalties for non-compliance.</w:t>
      </w:r>
    </w:p>
    <w:p w:rsidR="00000000" w:rsidDel="00000000" w:rsidP="00000000" w:rsidRDefault="00000000" w:rsidRPr="00000000" w14:paraId="00000019">
      <w:pPr>
        <w:ind w:left="72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Thus, Maryland code should be modeled after the following language from the IRA (H.R. 5376, Subtitle D, Part 1, provision f):</w:t>
      </w:r>
    </w:p>
    <w:p w:rsidR="00000000" w:rsidDel="00000000" w:rsidP="00000000" w:rsidRDefault="00000000" w:rsidRPr="00000000" w14:paraId="0000001A">
      <w:pPr>
        <w:ind w:left="144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(f) Wage…Requirements.--Section 45(b) is amended by adding at the end the following new paragraphs: </w:t>
      </w:r>
    </w:p>
    <w:p w:rsidR="00000000" w:rsidDel="00000000" w:rsidP="00000000" w:rsidRDefault="00000000" w:rsidRPr="00000000" w14:paraId="0000001B">
      <w:pPr>
        <w:ind w:left="216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``(6) Increased credit amount for qualified facilities.--</w:t>
      </w:r>
    </w:p>
    <w:p w:rsidR="00000000" w:rsidDel="00000000" w:rsidP="00000000" w:rsidRDefault="00000000" w:rsidRPr="00000000" w14:paraId="0000001C">
      <w:pPr>
        <w:ind w:left="288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``(A) In general.--In the case of any qualified facility which satisfies the requirements of subparagraph (B), the amount of the credit determined under subsection (a) (determined after the application of paragraphs (1) through (5) and without regard to this paragraph) shall be equal to such amount multiplied by 5.</w:t>
      </w:r>
    </w:p>
    <w:p w:rsidR="00000000" w:rsidDel="00000000" w:rsidP="00000000" w:rsidRDefault="00000000" w:rsidRPr="00000000" w14:paraId="0000001D">
      <w:pPr>
        <w:ind w:left="288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``(B) Qualified facility requirements.--A qualified facility meets the requirements of this subparagraph if it is one of the following:</w:t>
      </w:r>
    </w:p>
    <w:p w:rsidR="00000000" w:rsidDel="00000000" w:rsidP="00000000" w:rsidRDefault="00000000" w:rsidRPr="00000000" w14:paraId="0000001E">
      <w:pPr>
        <w:ind w:left="360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 A facility with a maximum net output of less than 1 megawatt (as measured in alternating current).</w:t>
      </w:r>
    </w:p>
    <w:p w:rsidR="00000000" w:rsidDel="00000000" w:rsidP="00000000" w:rsidRDefault="00000000" w:rsidRPr="00000000" w14:paraId="0000001F">
      <w:pPr>
        <w:ind w:left="360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``(ii) A facility the construction of which begins prior to the date that is 60 days after the Secretary publishes guidance with respect to the requirements of paragraphs (7)(A) and (8).</w:t>
      </w:r>
    </w:p>
    <w:p w:rsidR="00000000" w:rsidDel="00000000" w:rsidP="00000000" w:rsidRDefault="00000000" w:rsidRPr="00000000" w14:paraId="00000020">
      <w:pPr>
        <w:ind w:left="360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``(iii) A facility which satisfies the requirements of paragraphs (7)(A) and (8).</w:t>
      </w:r>
    </w:p>
    <w:p w:rsidR="00000000" w:rsidDel="00000000" w:rsidP="00000000" w:rsidRDefault="00000000" w:rsidRPr="00000000" w14:paraId="00000021">
      <w:pPr>
        <w:ind w:left="216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``(7) Prevailing wage requirements.--</w:t>
      </w:r>
    </w:p>
    <w:p w:rsidR="00000000" w:rsidDel="00000000" w:rsidP="00000000" w:rsidRDefault="00000000" w:rsidRPr="00000000" w14:paraId="00000022">
      <w:pPr>
        <w:ind w:left="288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``(A) In general.--The requirements described in this subparagraph with respect to any qualified facility are that the taxpayer shall ensure that any laborers and mechanics employed by the taxpayer or any contractor or subcontractor in– </w:t>
      </w:r>
    </w:p>
    <w:p w:rsidR="00000000" w:rsidDel="00000000" w:rsidP="00000000" w:rsidRDefault="00000000" w:rsidRPr="00000000" w14:paraId="00000023">
      <w:pPr>
        <w:ind w:left="360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 the construction of such facility, and</w:t>
      </w:r>
    </w:p>
    <w:p w:rsidR="00000000" w:rsidDel="00000000" w:rsidP="00000000" w:rsidRDefault="00000000" w:rsidRPr="00000000" w14:paraId="00000024">
      <w:pPr>
        <w:ind w:left="360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``(ii) with respect to any taxable year, for any portion of such taxable year which is within the period described in subsection (a)(2)(A)(ii), the alteration or repair of such facility, shall be paid wages at rates not less than the prevailing rates for construction, alteration, or repair of a similar character in the locality in which such facility is located as most recently determined by the Secretary of Labor, in accordance with subchapter IV of chapter 31 of title 40, United States Code.</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Require Community Benefits Plan for projects over 1 MW (but give flexibility in the terms of the plan; could employ a PLA agreement or a Community Workforce Agreement or establish other mechanisms for delivering local workforce benefits) </w:t>
      </w:r>
    </w:p>
    <w:p w:rsidR="00000000" w:rsidDel="00000000" w:rsidP="00000000" w:rsidRDefault="00000000" w:rsidRPr="00000000" w14:paraId="0000002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Procedural</w:t>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Encourage</w:t>
      </w:r>
      <w:r w:rsidDel="00000000" w:rsidR="00000000" w:rsidRPr="00000000">
        <w:rPr>
          <w:rFonts w:ascii="Times New Roman" w:cs="Times New Roman" w:eastAsia="Times New Roman" w:hAnsi="Times New Roman"/>
          <w:sz w:val="24"/>
          <w:szCs w:val="24"/>
          <w:shd w:fill="e06666" w:val="clear"/>
          <w:rtl w:val="0"/>
        </w:rPr>
        <w:t xml:space="preserve"> DLS to specifically include in Fiscal Notes the ratepayer impacts (i.e. the changes in cost of utility service for various rate classes) for new or revised energy incentives (e.g. alterations to the alternative compliance payment structure, net energy metering, RPS, etc.)</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Studying RPS/ACP</w:t>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Require a study to inform RPS reform, conducted by the Maryland Energy Administration, working along with other applicable stakeholders, with a report to be filed by July 1, 2025</w:t>
      </w:r>
      <w:r w:rsidDel="00000000" w:rsidR="00000000" w:rsidRPr="00000000">
        <w:rPr>
          <w:rFonts w:ascii="Times New Roman" w:cs="Times New Roman" w:eastAsia="Times New Roman" w:hAnsi="Times New Roman"/>
          <w:sz w:val="24"/>
          <w:szCs w:val="24"/>
          <w:highlight w:val="green"/>
          <w:rtl w:val="0"/>
        </w:rPr>
        <w:t xml:space="preserve">.</w:t>
      </w: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RPS “Bridge” Policies</w:t>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green"/>
          <w:rtl w:val="0"/>
        </w:rPr>
        <w:t xml:space="preserve">Adopt a temporary (3-year “bridge” with a sunset provision) incentive policy in the 2024 legislative session to incentivize solar while Maryland designs and subsequently implements its long-term RPS reform policy. [Voted on general goal.  Did not vote on specific bridge policies, i.e. SREC multiplier structures or changes to the ACP Schedule.]</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Residential Clean Energy Rebate</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color w:val="222222"/>
          <w:sz w:val="24"/>
          <w:szCs w:val="24"/>
          <w:highlight w:val="green"/>
          <w:rtl w:val="0"/>
        </w:rPr>
        <w:t xml:space="preserve">Adopt a temporary (3-year “bridge” with a sunset provision) incentive policy in the 2024  legislative session to incentivize residential solar while Maryland designs and subsequently implements its long-term RPS reform policy. T</w:t>
      </w:r>
      <w:r w:rsidDel="00000000" w:rsidR="00000000" w:rsidRPr="00000000">
        <w:rPr>
          <w:rFonts w:ascii="Times New Roman" w:cs="Times New Roman" w:eastAsia="Times New Roman" w:hAnsi="Times New Roman"/>
          <w:sz w:val="24"/>
          <w:szCs w:val="24"/>
          <w:highlight w:val="green"/>
          <w:rtl w:val="0"/>
        </w:rPr>
        <w:t xml:space="preserve">he legislature should establish a single-family residential solar grant program using SACP funds to leverage private dollars for the installation of single-family solar systems benefiting low to moderate income homeowners and overburdened and underserved communities.  </w:t>
      </w:r>
    </w:p>
    <w:p w:rsidR="00000000" w:rsidDel="00000000" w:rsidP="00000000" w:rsidRDefault="00000000" w:rsidRPr="00000000" w14:paraId="00000032">
      <w:pPr>
        <w:shd w:fill="ffffff" w:val="clear"/>
        <w:ind w:left="144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program should have two tiers:</w:t>
      </w:r>
    </w:p>
    <w:p w:rsidR="00000000" w:rsidDel="00000000" w:rsidP="00000000" w:rsidRDefault="00000000" w:rsidRPr="00000000" w14:paraId="00000033">
      <w:pPr>
        <w:numPr>
          <w:ilvl w:val="0"/>
          <w:numId w:val="2"/>
        </w:numPr>
        <w:shd w:fill="ffffff" w:val="clear"/>
        <w:ind w:left="2160" w:hanging="360"/>
        <w:rPr>
          <w:rFonts w:ascii="Times New Roman" w:cs="Times New Roman" w:eastAsia="Times New Roman" w:hAnsi="Times New Roman"/>
          <w:color w:val="000000"/>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Tier 1: For households who qualify via geographic eligibility within LMIOU census tracks, up to a household income cap established by the legislature.</w:t>
      </w:r>
    </w:p>
    <w:p w:rsidR="00000000" w:rsidDel="00000000" w:rsidP="00000000" w:rsidRDefault="00000000" w:rsidRPr="00000000" w14:paraId="00000034">
      <w:pPr>
        <w:numPr>
          <w:ilvl w:val="0"/>
          <w:numId w:val="2"/>
        </w:numPr>
        <w:shd w:fill="ffffff" w:val="clear"/>
        <w:ind w:left="2160" w:hanging="360"/>
        <w:rPr>
          <w:rFonts w:ascii="Times New Roman" w:cs="Times New Roman" w:eastAsia="Times New Roman" w:hAnsi="Times New Roman"/>
          <w:color w:val="000000"/>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Tier 2: Higher level grant for households who are income verified within LMIOU census tracks. </w:t>
      </w:r>
    </w:p>
    <w:p w:rsidR="00000000" w:rsidDel="00000000" w:rsidP="00000000" w:rsidRDefault="00000000" w:rsidRPr="00000000" w14:paraId="00000035">
      <w:pPr>
        <w:shd w:fill="ffffff" w:val="clear"/>
        <w:ind w:left="144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program shall be open to all business models and the grant shall be assignable to the system owner if that is different from the homeowner.</w:t>
      </w:r>
    </w:p>
    <w:p w:rsidR="00000000" w:rsidDel="00000000" w:rsidP="00000000" w:rsidRDefault="00000000" w:rsidRPr="00000000" w14:paraId="00000036">
      <w:pPr>
        <w:shd w:fill="ffffff" w:val="clear"/>
        <w:ind w:left="144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Should the legislature deem that income verification beyond self-attestation is necessary, the legislature should establish a streamlined verification process whereby the State issues eligibility status of an applicant within 30 days of application.</w:t>
      </w:r>
    </w:p>
    <w:p w:rsidR="00000000" w:rsidDel="00000000" w:rsidP="00000000" w:rsidRDefault="00000000" w:rsidRPr="00000000" w14:paraId="00000037">
      <w:pPr>
        <w:shd w:fill="ffffff" w:val="clear"/>
        <w:ind w:left="144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legislature should amend the eligibility for SACP funds to include LMI households that are outside of LMIOU communities. </w:t>
      </w:r>
    </w:p>
    <w:p w:rsidR="00000000" w:rsidDel="00000000" w:rsidP="00000000" w:rsidRDefault="00000000" w:rsidRPr="00000000" w14:paraId="00000038">
      <w:pPr>
        <w:shd w:fill="ffffff" w:val="clear"/>
        <w:ind w:left="144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legislature should also explore establishing a grant program for homeowners outside of the LMIOU communities. SACP funds shall not be used for this purpose.   </w:t>
      </w:r>
    </w:p>
    <w:p w:rsidR="00000000" w:rsidDel="00000000" w:rsidP="00000000" w:rsidRDefault="00000000" w:rsidRPr="00000000" w14:paraId="00000039">
      <w:pPr>
        <w:shd w:fill="ffffff" w:val="clear"/>
        <w:ind w:left="144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legislature should set a reasonable soft cap on this program, with discretion provided to the MEA to exceed this amount based on program success and funds available.</w:t>
      </w:r>
      <w:r w:rsidDel="00000000" w:rsidR="00000000" w:rsidRPr="00000000">
        <w:rPr>
          <w:rtl w:val="0"/>
        </w:rPr>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Require that 3rd party owned solar systems are eligible for all Maryland incentives, including the Residential Clean Energy Rebate Program.  Require that eligibility is contingent on meeting consumer protection requirements (i.e. cap on escalator rate).</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sz w:val="24"/>
          <w:szCs w:val="24"/>
          <w:rtl w:val="0"/>
        </w:rPr>
        <w:t xml:space="preserve">Other Residential Rooftop Measures</w:t>
      </w:r>
      <w:r w:rsidDel="00000000" w:rsidR="00000000" w:rsidRPr="00000000">
        <w:rPr>
          <w:rtl w:val="0"/>
        </w:rPr>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Eliminate the Maryland Energy Storage Income Tax Credit and reallocate the funds to a targeted LMI Residential Rooftop Solar Program.  </w:t>
      </w:r>
    </w:p>
    <w:p w:rsidR="00000000" w:rsidDel="00000000" w:rsidP="00000000" w:rsidRDefault="00000000" w:rsidRPr="00000000" w14:paraId="0000003E">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Require a portion of Electric Universal Service Program (EUSP) funding be utilized to install residential rooftop solar systems on the homes of EUSP-eligible recipients to cover 100% of annual usage and eliminate their ongoing need for EUSP.</w:t>
      </w:r>
    </w:p>
    <w:p w:rsidR="00000000" w:rsidDel="00000000" w:rsidP="00000000" w:rsidRDefault="00000000" w:rsidRPr="00000000" w14:paraId="0000003F">
      <w:pPr>
        <w:ind w:left="72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(21) - Require a portion of Electric Universal Service Program (EUSP) funding be utilized to install residential rooftop solar systems on the homes of EUSP-eligible recipients recipients and/or to pay for community solar subscriptions to cover 100% of annual usage and eliminate their ongoing need for EUSP.</w:t>
      </w:r>
      <w:r w:rsidDel="00000000" w:rsidR="00000000" w:rsidRPr="00000000">
        <w:rPr>
          <w:rtl w:val="0"/>
        </w:rPr>
      </w:r>
    </w:p>
    <w:p w:rsidR="00000000" w:rsidDel="00000000" w:rsidP="00000000" w:rsidRDefault="00000000" w:rsidRPr="00000000" w14:paraId="00000040">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Update codes for new construction (both residential and commercial) to require electrical wiring and electrical panels that are solar and EV-ready</w:t>
      </w:r>
      <w:r w:rsidDel="00000000" w:rsidR="00000000" w:rsidRPr="00000000">
        <w:rPr>
          <w:rtl w:val="0"/>
        </w:rPr>
      </w:r>
    </w:p>
    <w:p w:rsidR="00000000" w:rsidDel="00000000" w:rsidP="00000000" w:rsidRDefault="00000000" w:rsidRPr="00000000" w14:paraId="00000041">
      <w:pPr>
        <w:numPr>
          <w:ilvl w:val="0"/>
          <w:numId w:val="1"/>
        </w:numPr>
        <w:ind w:left="72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The Maryland Public Service Commission’s Energy Storage workgroup is encouraged to study energy storage as part of a virtual power plant solution, when paired with solar including evaluating utility and individual benefits and costs to ratepayers and rate structure options. Storage solutions incentivized by MEA may be in concert with solar and be virtual power plant ready.</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RPS Reform (longterm)</w:t>
      </w:r>
      <w:r w:rsidDel="00000000" w:rsidR="00000000" w:rsidRPr="00000000">
        <w:rPr>
          <w:rtl w:val="0"/>
        </w:rPr>
      </w:r>
    </w:p>
    <w:p w:rsidR="00000000" w:rsidDel="00000000" w:rsidP="00000000" w:rsidRDefault="00000000" w:rsidRPr="00000000" w14:paraId="00000044">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color w:val="222222"/>
          <w:sz w:val="24"/>
          <w:szCs w:val="24"/>
          <w:shd w:fill="e06666" w:val="clear"/>
          <w:rtl w:val="0"/>
        </w:rPr>
        <w:t xml:space="preserve">RPS Reform in the 2024 legislative session</w:t>
      </w:r>
    </w:p>
    <w:p w:rsidR="00000000" w:rsidDel="00000000" w:rsidP="00000000" w:rsidRDefault="00000000" w:rsidRPr="00000000" w14:paraId="00000045">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color w:val="ff0000"/>
          <w:sz w:val="24"/>
          <w:szCs w:val="24"/>
          <w:shd w:fill="e06666" w:val="clear"/>
          <w:rtl w:val="0"/>
        </w:rPr>
        <w:t xml:space="preserve">OPTION A</w:t>
      </w:r>
      <w:r w:rsidDel="00000000" w:rsidR="00000000" w:rsidRPr="00000000">
        <w:rPr>
          <w:rFonts w:ascii="Times New Roman" w:cs="Times New Roman" w:eastAsia="Times New Roman" w:hAnsi="Times New Roman"/>
          <w:color w:val="222222"/>
          <w:sz w:val="24"/>
          <w:szCs w:val="24"/>
          <w:shd w:fill="e06666" w:val="clear"/>
          <w:rtl w:val="0"/>
        </w:rPr>
        <w:t xml:space="preserve"> - The state should </w:t>
      </w:r>
      <w:r w:rsidDel="00000000" w:rsidR="00000000" w:rsidRPr="00000000">
        <w:rPr>
          <w:rFonts w:ascii="Times New Roman" w:cs="Times New Roman" w:eastAsia="Times New Roman" w:hAnsi="Times New Roman"/>
          <w:color w:val="222222"/>
          <w:sz w:val="24"/>
          <w:szCs w:val="24"/>
          <w:shd w:fill="e06666" w:val="clear"/>
          <w:rtl w:val="0"/>
        </w:rPr>
        <w:t xml:space="preserve">freeze</w:t>
      </w:r>
      <w:r w:rsidDel="00000000" w:rsidR="00000000" w:rsidRPr="00000000">
        <w:rPr>
          <w:rFonts w:ascii="Times New Roman" w:cs="Times New Roman" w:eastAsia="Times New Roman" w:hAnsi="Times New Roman"/>
          <w:color w:val="222222"/>
          <w:sz w:val="24"/>
          <w:szCs w:val="24"/>
          <w:shd w:fill="e06666" w:val="clear"/>
          <w:rtl w:val="0"/>
        </w:rPr>
        <w:t xml:space="preserve"> the ACP Schedule in the 2024 legislative session (no sunset provision).</w:t>
      </w:r>
    </w:p>
    <w:p w:rsidR="00000000" w:rsidDel="00000000" w:rsidP="00000000" w:rsidRDefault="00000000" w:rsidRPr="00000000" w14:paraId="00000046">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color w:val="ff0000"/>
          <w:sz w:val="24"/>
          <w:szCs w:val="24"/>
          <w:shd w:fill="e06666" w:val="clear"/>
          <w:rtl w:val="0"/>
        </w:rPr>
        <w:t xml:space="preserve">OPTION B</w:t>
      </w:r>
      <w:r w:rsidDel="00000000" w:rsidR="00000000" w:rsidRPr="00000000">
        <w:rPr>
          <w:rFonts w:ascii="Times New Roman" w:cs="Times New Roman" w:eastAsia="Times New Roman" w:hAnsi="Times New Roman"/>
          <w:color w:val="222222"/>
          <w:sz w:val="24"/>
          <w:szCs w:val="24"/>
          <w:shd w:fill="e06666" w:val="clear"/>
          <w:rtl w:val="0"/>
        </w:rPr>
        <w:t xml:space="preserve"> - The state should </w:t>
      </w:r>
      <w:r w:rsidDel="00000000" w:rsidR="00000000" w:rsidRPr="00000000">
        <w:rPr>
          <w:rFonts w:ascii="Times New Roman" w:cs="Times New Roman" w:eastAsia="Times New Roman" w:hAnsi="Times New Roman"/>
          <w:color w:val="222222"/>
          <w:sz w:val="24"/>
          <w:szCs w:val="24"/>
          <w:shd w:fill="e06666" w:val="clear"/>
          <w:rtl w:val="0"/>
        </w:rPr>
        <w:t xml:space="preserve">increase</w:t>
      </w:r>
      <w:r w:rsidDel="00000000" w:rsidR="00000000" w:rsidRPr="00000000">
        <w:rPr>
          <w:rFonts w:ascii="Times New Roman" w:cs="Times New Roman" w:eastAsia="Times New Roman" w:hAnsi="Times New Roman"/>
          <w:color w:val="222222"/>
          <w:sz w:val="24"/>
          <w:szCs w:val="24"/>
          <w:shd w:fill="e06666" w:val="clear"/>
          <w:rtl w:val="0"/>
        </w:rPr>
        <w:t xml:space="preserve"> the ACP Schedule in the 2024 legislative session.</w:t>
      </w:r>
    </w:p>
    <w:p w:rsidR="00000000" w:rsidDel="00000000" w:rsidP="00000000" w:rsidRDefault="00000000" w:rsidRPr="00000000" w14:paraId="00000047">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Use of ACP Funds</w:t>
      </w:r>
    </w:p>
    <w:p w:rsidR="00000000" w:rsidDel="00000000" w:rsidP="00000000" w:rsidRDefault="00000000" w:rsidRPr="00000000" w14:paraId="00000049">
      <w:pPr>
        <w:numPr>
          <w:ilvl w:val="0"/>
          <w:numId w:val="1"/>
        </w:numPr>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ACP Funding Formula proposals: </w:t>
      </w:r>
    </w:p>
    <w:p w:rsidR="00000000" w:rsidDel="00000000" w:rsidP="00000000" w:rsidRDefault="00000000" w:rsidRPr="00000000" w14:paraId="0000004A">
      <w:pPr>
        <w:numPr>
          <w:ilvl w:val="1"/>
          <w:numId w:val="1"/>
        </w:numPr>
        <w:ind w:left="1440" w:hanging="360"/>
        <w:rPr>
          <w:rFonts w:ascii="Times New Roman" w:cs="Times New Roman" w:eastAsia="Times New Roman" w:hAnsi="Times New Roman"/>
          <w:color w:val="222222"/>
          <w:sz w:val="24"/>
          <w:szCs w:val="24"/>
          <w:shd w:fill="e06666" w:val="clear"/>
        </w:rPr>
      </w:pPr>
      <w:commentRangeStart w:id="0"/>
      <w:r w:rsidDel="00000000" w:rsidR="00000000" w:rsidRPr="00000000">
        <w:rPr>
          <w:rFonts w:ascii="Times New Roman" w:cs="Times New Roman" w:eastAsia="Times New Roman" w:hAnsi="Times New Roman"/>
          <w:sz w:val="24"/>
          <w:szCs w:val="24"/>
          <w:shd w:fill="e06666" w:val="clear"/>
          <w:rtl w:val="0"/>
        </w:rPr>
        <w:t xml:space="preserve">The</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shd w:fill="e06666" w:val="clear"/>
          <w:rtl w:val="0"/>
        </w:rPr>
        <w:t xml:space="preserve"> </w:t>
      </w:r>
      <w:r w:rsidDel="00000000" w:rsidR="00000000" w:rsidRPr="00000000">
        <w:rPr>
          <w:rFonts w:ascii="Times New Roman" w:cs="Times New Roman" w:eastAsia="Times New Roman" w:hAnsi="Times New Roman"/>
          <w:sz w:val="24"/>
          <w:szCs w:val="24"/>
          <w:shd w:fill="e06666" w:val="clear"/>
          <w:rtl w:val="0"/>
        </w:rPr>
        <w:t xml:space="preserve">ACP Funding formula should require that the State to reserve:</w:t>
      </w:r>
    </w:p>
    <w:p w:rsidR="00000000" w:rsidDel="00000000" w:rsidP="00000000" w:rsidRDefault="00000000" w:rsidRPr="00000000" w14:paraId="0000004B">
      <w:pPr>
        <w:numPr>
          <w:ilvl w:val="2"/>
          <w:numId w:val="1"/>
        </w:numPr>
        <w:ind w:left="2160" w:hanging="360"/>
        <w:rPr>
          <w:rFonts w:ascii="Times New Roman" w:cs="Times New Roman" w:eastAsia="Times New Roman" w:hAnsi="Times New Roman"/>
          <w:color w:val="222222"/>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60% of ACP funds to provide financial incentives for the development of community solar projects on rooftops and parking lots in and for low-income and disadvantaged communities, including community solar projects on the rooftops of multifamily residential properties; and</w:t>
      </w:r>
    </w:p>
    <w:p w:rsidR="00000000" w:rsidDel="00000000" w:rsidP="00000000" w:rsidRDefault="00000000" w:rsidRPr="00000000" w14:paraId="0000004C">
      <w:pPr>
        <w:numPr>
          <w:ilvl w:val="2"/>
          <w:numId w:val="1"/>
        </w:numPr>
        <w:ind w:left="2160" w:hanging="360"/>
        <w:rPr>
          <w:rFonts w:ascii="Times New Roman" w:cs="Times New Roman" w:eastAsia="Times New Roman" w:hAnsi="Times New Roman"/>
          <w:color w:val="222222"/>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40% of ACP funds to incentivize the development of single-family rooftop solar for low-income homeowners</w:t>
      </w:r>
      <w:r w:rsidDel="00000000" w:rsidR="00000000" w:rsidRPr="00000000">
        <w:rPr>
          <w:rFonts w:ascii="Times New Roman" w:cs="Times New Roman" w:eastAsia="Times New Roman" w:hAnsi="Times New Roman"/>
          <w:sz w:val="24"/>
          <w:szCs w:val="24"/>
          <w:shd w:fill="e06666" w:val="clear"/>
          <w:rtl w:val="0"/>
        </w:rPr>
        <w:t xml:space="preserve">.</w:t>
      </w:r>
    </w:p>
    <w:p w:rsidR="00000000" w:rsidDel="00000000" w:rsidP="00000000" w:rsidRDefault="00000000" w:rsidRPr="00000000" w14:paraId="0000004D">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The State should use multiple financing tools to incentivize priority community solar projects, with a focus on low-cost, long-term debt financing that can be recycled and re-deployed by the state for future programs. </w:t>
      </w:r>
    </w:p>
    <w:p w:rsidR="00000000" w:rsidDel="00000000" w:rsidP="00000000" w:rsidRDefault="00000000" w:rsidRPr="00000000" w14:paraId="0000004E">
      <w:pPr>
        <w:numPr>
          <w:ilvl w:val="2"/>
          <w:numId w:val="1"/>
        </w:numPr>
        <w:ind w:left="216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60% of the next fiscal year’s allotment of ACP community solar funds should be reserved for a loan fund to be used to incentivize community solar development on the built environment, with priority placed on &lt;2 MW projects that are at least 50% low-income and offer a minimum 20% bill discount and/or are located on rooftops and parking lots. Loan terms could be tiered, with interest rates and term length being tied to priority project areas.</w:t>
      </w:r>
    </w:p>
    <w:p w:rsidR="00000000" w:rsidDel="00000000" w:rsidP="00000000" w:rsidRDefault="00000000" w:rsidRPr="00000000" w14:paraId="0000004F">
      <w:pPr>
        <w:numPr>
          <w:ilvl w:val="2"/>
          <w:numId w:val="1"/>
        </w:numPr>
        <w:ind w:left="216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The remaining 40% should be reserved for grant funding.  Grant funding could be used as an additional financial incentive for projects where there is a limited repayment mechanism (battery storage) or to supplement low-cost financing for priority projects where project costs exceed what low-cost financing will allow (parking canopies, &lt;500 kW projects), or for enabling improvements which would prepare a building for the installation of solar panels for community solar projects described in 25(b)(i) above</w:t>
      </w:r>
    </w:p>
    <w:p w:rsidR="00000000" w:rsidDel="00000000" w:rsidP="00000000" w:rsidRDefault="00000000" w:rsidRPr="00000000" w14:paraId="00000050">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green"/>
          <w:rtl w:val="0"/>
        </w:rPr>
        <w:t xml:space="preserve">MEA should </w:t>
      </w:r>
      <w:r w:rsidDel="00000000" w:rsidR="00000000" w:rsidRPr="00000000">
        <w:rPr>
          <w:rFonts w:ascii="Times New Roman" w:cs="Times New Roman" w:eastAsia="Times New Roman" w:hAnsi="Times New Roman"/>
          <w:sz w:val="24"/>
          <w:szCs w:val="24"/>
          <w:highlight w:val="green"/>
          <w:rtl w:val="0"/>
        </w:rPr>
        <w:t xml:space="preserve">make every effort to prioritize ACP funding for solar projects that have multiple co-benefits.</w:t>
      </w:r>
      <w:r w:rsidDel="00000000" w:rsidR="00000000" w:rsidRPr="00000000">
        <w:rPr>
          <w:rtl w:val="0"/>
        </w:rPr>
      </w:r>
    </w:p>
    <w:p w:rsidR="00000000" w:rsidDel="00000000" w:rsidP="00000000" w:rsidRDefault="00000000" w:rsidRPr="00000000" w14:paraId="00000051">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ACP Acceptable Uses</w:t>
      </w:r>
    </w:p>
    <w:p w:rsidR="00000000" w:rsidDel="00000000" w:rsidP="00000000" w:rsidRDefault="00000000" w:rsidRPr="00000000" w14:paraId="00000052">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The state should allow ACP Funds to be utilized for installation of rooftop solar for low income households, as well as enabling improvements which would prepare a home for the installation of solar panels (i.e. roof repairs, electrical upgrades, structural repairs, etc.)</w:t>
      </w:r>
    </w:p>
    <w:p w:rsidR="00000000" w:rsidDel="00000000" w:rsidP="00000000" w:rsidRDefault="00000000" w:rsidRPr="00000000" w14:paraId="00000053">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(26)(a) - The state should allow ACP Funds to be utilized for installation of rooftop and community solar for low income households, as well as enabling improvements which would prepare a home or other building for the installation of solar panels (i.e. roof repairs, electrical upgrades, structural repairs, etc.)</w:t>
      </w:r>
    </w:p>
    <w:p w:rsidR="00000000" w:rsidDel="00000000" w:rsidP="00000000" w:rsidRDefault="00000000" w:rsidRPr="00000000" w14:paraId="00000054">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The state should allow ACP Funds to be utilized for moderate-income households, while reserving at least 60% for low-income, underserved, and overburdened communities.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i w:val="1"/>
          <w:color w:val="0000ff"/>
          <w:sz w:val="24"/>
          <w:szCs w:val="24"/>
        </w:rPr>
      </w:pPr>
      <w:commentRangeStart w:id="1"/>
      <w:r w:rsidDel="00000000" w:rsidR="00000000" w:rsidRPr="00000000">
        <w:rPr>
          <w:rFonts w:ascii="Times New Roman" w:cs="Times New Roman" w:eastAsia="Times New Roman" w:hAnsi="Times New Roman"/>
          <w:b w:val="1"/>
          <w:sz w:val="24"/>
          <w:szCs w:val="24"/>
          <w:rtl w:val="0"/>
        </w:rPr>
        <w:t xml:space="preserve">Siting</w:t>
      </w:r>
      <w:commentRangeEnd w:id="1"/>
      <w:r w:rsidDel="00000000" w:rsidR="00000000" w:rsidRPr="00000000">
        <w:commentReference w:id="1"/>
      </w:r>
      <w:r w:rsidDel="00000000" w:rsidR="00000000" w:rsidRPr="00000000">
        <w:rPr>
          <w:rFonts w:ascii="Times New Roman" w:cs="Times New Roman" w:eastAsia="Times New Roman" w:hAnsi="Times New Roman"/>
          <w:b w:val="1"/>
          <w:sz w:val="24"/>
          <w:szCs w:val="24"/>
          <w:rtl w:val="0"/>
        </w:rPr>
        <w:t xml:space="preserve">/Permitting</w:t>
        <w:tab/>
      </w:r>
      <w:r w:rsidDel="00000000" w:rsidR="00000000" w:rsidRPr="00000000">
        <w:rPr>
          <w:rtl w:val="0"/>
        </w:rPr>
      </w:r>
    </w:p>
    <w:p w:rsidR="00000000" w:rsidDel="00000000" w:rsidP="00000000" w:rsidRDefault="00000000" w:rsidRPr="00000000" w14:paraId="00000057">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For ground mount solar projects: </w:t>
      </w:r>
    </w:p>
    <w:p w:rsidR="00000000" w:rsidDel="00000000" w:rsidP="00000000" w:rsidRDefault="00000000" w:rsidRPr="00000000" w14:paraId="00000058">
      <w:pPr>
        <w:ind w:left="720" w:firstLine="0"/>
        <w:rPr>
          <w:rFonts w:ascii="Times New Roman" w:cs="Times New Roman" w:eastAsia="Times New Roman" w:hAnsi="Times New Roman"/>
          <w:i w:val="1"/>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(12) - For non-residential ground mount solar projects:</w:t>
      </w:r>
      <w:r w:rsidDel="00000000" w:rsidR="00000000" w:rsidRPr="00000000">
        <w:rPr>
          <w:rFonts w:ascii="Times New Roman" w:cs="Times New Roman" w:eastAsia="Times New Roman" w:hAnsi="Times New Roman"/>
          <w:i w:val="1"/>
          <w:sz w:val="24"/>
          <w:szCs w:val="24"/>
          <w:shd w:fill="e06666" w:val="clear"/>
          <w:rtl w:val="0"/>
        </w:rPr>
        <w:t xml:space="preserve"> </w:t>
      </w:r>
    </w:p>
    <w:p w:rsidR="00000000" w:rsidDel="00000000" w:rsidP="00000000" w:rsidRDefault="00000000" w:rsidRPr="00000000" w14:paraId="00000059">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color w:val="ff0000"/>
          <w:sz w:val="24"/>
          <w:szCs w:val="24"/>
          <w:shd w:fill="e06666" w:val="clear"/>
          <w:rtl w:val="0"/>
        </w:rPr>
        <w:t xml:space="preserve">OPTION A</w:t>
      </w:r>
      <w:r w:rsidDel="00000000" w:rsidR="00000000" w:rsidRPr="00000000">
        <w:rPr>
          <w:rFonts w:ascii="Times New Roman" w:cs="Times New Roman" w:eastAsia="Times New Roman" w:hAnsi="Times New Roman"/>
          <w:sz w:val="24"/>
          <w:szCs w:val="24"/>
          <w:shd w:fill="e06666" w:val="clear"/>
          <w:rtl w:val="0"/>
        </w:rPr>
        <w:t xml:space="preserve"> - State agencies s</w:t>
      </w:r>
      <w:r w:rsidDel="00000000" w:rsidR="00000000" w:rsidRPr="00000000">
        <w:rPr>
          <w:rFonts w:ascii="Times New Roman" w:cs="Times New Roman" w:eastAsia="Times New Roman" w:hAnsi="Times New Roman"/>
          <w:sz w:val="24"/>
          <w:szCs w:val="24"/>
          <w:shd w:fill="e06666" w:val="clear"/>
          <w:rtl w:val="0"/>
        </w:rPr>
        <w:t xml:space="preserve">et state-wide model permit design standards (setbacks, zoning, soil, etc) that local jurisdictions must follow, that includes public comment, considers state goals related to solar development, and considers environmental preservation guardrails</w:t>
      </w:r>
      <w:r w:rsidDel="00000000" w:rsidR="00000000" w:rsidRPr="00000000">
        <w:rPr>
          <w:rFonts w:ascii="Times New Roman" w:cs="Times New Roman" w:eastAsia="Times New Roman" w:hAnsi="Times New Roman"/>
          <w:sz w:val="24"/>
          <w:szCs w:val="24"/>
          <w:shd w:fill="e06666" w:val="clear"/>
          <w:rtl w:val="0"/>
        </w:rPr>
        <w:t xml:space="preserve">.</w:t>
      </w:r>
    </w:p>
    <w:p w:rsidR="00000000" w:rsidDel="00000000" w:rsidP="00000000" w:rsidRDefault="00000000" w:rsidRPr="00000000" w14:paraId="0000005A">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(27)(a) - PSC s</w:t>
      </w:r>
      <w:r w:rsidDel="00000000" w:rsidR="00000000" w:rsidRPr="00000000">
        <w:rPr>
          <w:rFonts w:ascii="Times New Roman" w:cs="Times New Roman" w:eastAsia="Times New Roman" w:hAnsi="Times New Roman"/>
          <w:i w:val="1"/>
          <w:color w:val="0000ff"/>
          <w:sz w:val="24"/>
          <w:szCs w:val="24"/>
          <w:shd w:fill="e06666" w:val="clear"/>
          <w:rtl w:val="0"/>
        </w:rPr>
        <w:t xml:space="preserve">et state-wide model permit design standards (setbacks, zoning, soil, etc) that local jurisdictions must follow, that includes public comment, considers state goals related to solar development, and considers environmental preservation guardrails</w:t>
      </w:r>
      <w:r w:rsidDel="00000000" w:rsidR="00000000" w:rsidRPr="00000000">
        <w:rPr>
          <w:rFonts w:ascii="Times New Roman" w:cs="Times New Roman" w:eastAsia="Times New Roman" w:hAnsi="Times New Roman"/>
          <w:i w:val="1"/>
          <w:color w:val="0000ff"/>
          <w:sz w:val="24"/>
          <w:szCs w:val="24"/>
          <w:shd w:fill="e06666" w:val="clear"/>
          <w:rtl w:val="0"/>
        </w:rPr>
        <w:t xml:space="preserve">.</w:t>
      </w:r>
    </w:p>
    <w:p w:rsidR="00000000" w:rsidDel="00000000" w:rsidP="00000000" w:rsidRDefault="00000000" w:rsidRPr="00000000" w14:paraId="0000005B">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color w:val="ff0000"/>
          <w:sz w:val="24"/>
          <w:szCs w:val="24"/>
          <w:shd w:fill="e06666" w:val="clear"/>
          <w:rtl w:val="0"/>
        </w:rPr>
        <w:t xml:space="preserve">OPTION B</w:t>
      </w:r>
      <w:r w:rsidDel="00000000" w:rsidR="00000000" w:rsidRPr="00000000">
        <w:rPr>
          <w:rFonts w:ascii="Times New Roman" w:cs="Times New Roman" w:eastAsia="Times New Roman" w:hAnsi="Times New Roman"/>
          <w:sz w:val="24"/>
          <w:szCs w:val="24"/>
          <w:shd w:fill="e06666" w:val="clear"/>
          <w:rtl w:val="0"/>
        </w:rPr>
        <w:t xml:space="preserve"> - State agencies set state-wide setbacks as follows:</w:t>
      </w:r>
    </w:p>
    <w:p w:rsidR="00000000" w:rsidDel="00000000" w:rsidP="00000000" w:rsidRDefault="00000000" w:rsidRPr="00000000" w14:paraId="0000005C">
      <w:pPr>
        <w:numPr>
          <w:ilvl w:val="2"/>
          <w:numId w:val="1"/>
        </w:numPr>
        <w:ind w:left="216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Explicitly require the Commission to establish a </w:t>
      </w:r>
      <w:r w:rsidDel="00000000" w:rsidR="00000000" w:rsidRPr="00000000">
        <w:rPr>
          <w:rFonts w:ascii="Times New Roman" w:cs="Times New Roman" w:eastAsia="Times New Roman" w:hAnsi="Times New Roman"/>
          <w:sz w:val="24"/>
          <w:szCs w:val="24"/>
          <w:shd w:fill="e06666" w:val="clear"/>
          <w:rtl w:val="0"/>
        </w:rPr>
        <w:t xml:space="preserve">reasonable</w:t>
      </w:r>
      <w:r w:rsidDel="00000000" w:rsidR="00000000" w:rsidRPr="00000000">
        <w:rPr>
          <w:rFonts w:ascii="Times New Roman" w:cs="Times New Roman" w:eastAsia="Times New Roman" w:hAnsi="Times New Roman"/>
          <w:sz w:val="24"/>
          <w:szCs w:val="24"/>
          <w:shd w:fill="e06666" w:val="clear"/>
          <w:rtl w:val="0"/>
        </w:rPr>
        <w:t xml:space="preserve"> setback in each CPCN order.</w:t>
      </w:r>
    </w:p>
    <w:p w:rsidR="00000000" w:rsidDel="00000000" w:rsidP="00000000" w:rsidRDefault="00000000" w:rsidRPr="00000000" w14:paraId="0000005D">
      <w:pPr>
        <w:numPr>
          <w:ilvl w:val="2"/>
          <w:numId w:val="1"/>
        </w:numPr>
        <w:ind w:left="216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Limit setbacks statewide for community solar 1MW-2MW</w:t>
      </w:r>
    </w:p>
    <w:p w:rsidR="00000000" w:rsidDel="00000000" w:rsidP="00000000" w:rsidRDefault="00000000" w:rsidRPr="00000000" w14:paraId="0000005E">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(27)(b) PSC set state-wide setbacks: </w:t>
      </w:r>
    </w:p>
    <w:p w:rsidR="00000000" w:rsidDel="00000000" w:rsidP="00000000" w:rsidRDefault="00000000" w:rsidRPr="00000000" w14:paraId="0000005F">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   i.  The PSC will establish statewide setback and other design standards for all </w:t>
      </w:r>
    </w:p>
    <w:p w:rsidR="00000000" w:rsidDel="00000000" w:rsidP="00000000" w:rsidRDefault="00000000" w:rsidRPr="00000000" w14:paraId="00000060">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       projects greater than 100 kW </w:t>
      </w:r>
    </w:p>
    <w:p w:rsidR="00000000" w:rsidDel="00000000" w:rsidP="00000000" w:rsidRDefault="00000000" w:rsidRPr="00000000" w14:paraId="00000061">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   ii.  Counties and AHJ's may challenge these statewide setbacks to the PSC for </w:t>
      </w:r>
    </w:p>
    <w:p w:rsidR="00000000" w:rsidDel="00000000" w:rsidP="00000000" w:rsidRDefault="00000000" w:rsidRPr="00000000" w14:paraId="00000062">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        individual projects for good cause. </w:t>
      </w:r>
    </w:p>
    <w:p w:rsidR="00000000" w:rsidDel="00000000" w:rsidP="00000000" w:rsidRDefault="00000000" w:rsidRPr="00000000" w14:paraId="00000063">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   iii.  Counties remain responsible for zoning and zoning exceptions.</w:t>
      </w:r>
    </w:p>
    <w:p w:rsidR="00000000" w:rsidDel="00000000" w:rsidP="00000000" w:rsidRDefault="00000000" w:rsidRPr="00000000" w14:paraId="00000064">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Streamlining Licensing for Community Solar 2MW - 5W</w:t>
      </w:r>
      <w:r w:rsidDel="00000000" w:rsidR="00000000" w:rsidRPr="00000000">
        <w:rPr>
          <w:rtl w:val="0"/>
        </w:rPr>
      </w:r>
    </w:p>
    <w:p w:rsidR="00000000" w:rsidDel="00000000" w:rsidP="00000000" w:rsidRDefault="00000000" w:rsidRPr="00000000" w14:paraId="00000065">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color w:val="ff0000"/>
          <w:sz w:val="24"/>
          <w:szCs w:val="24"/>
          <w:shd w:fill="e06666" w:val="clear"/>
          <w:rtl w:val="0"/>
        </w:rPr>
        <w:t xml:space="preserve">OPTION A</w:t>
      </w:r>
      <w:r w:rsidDel="00000000" w:rsidR="00000000" w:rsidRPr="00000000">
        <w:rPr>
          <w:rFonts w:ascii="Times New Roman" w:cs="Times New Roman" w:eastAsia="Times New Roman" w:hAnsi="Times New Roman"/>
          <w:sz w:val="24"/>
          <w:szCs w:val="24"/>
          <w:shd w:fill="e06666" w:val="clear"/>
          <w:rtl w:val="0"/>
        </w:rPr>
        <w:t xml:space="preserve"> - Establish a “DG-CPCN” License for community solar projects between 2MW - 5MW, that incorporates a “model permit design” and the standardized licensing conditions developed.  Increase personnel at PPRP to meet the anticipated workload associated with an increase in applications.</w:t>
      </w:r>
    </w:p>
    <w:p w:rsidR="00000000" w:rsidDel="00000000" w:rsidP="00000000" w:rsidRDefault="00000000" w:rsidRPr="00000000" w14:paraId="00000066">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(28)(a) - Establish a “DG-CPCN” License for community solar projects between 2MW - 5MW, that incorporates a “model permit design” and the standardized licensing conditions developed.  Only allow the expedited review if there is no County or local opposition and the developer agrees to a Community Benefits Agreement or similar program that benefits the local community/County.</w:t>
      </w:r>
    </w:p>
    <w:p w:rsidR="00000000" w:rsidDel="00000000" w:rsidP="00000000" w:rsidRDefault="00000000" w:rsidRPr="00000000" w14:paraId="00000067">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color w:val="ff0000"/>
          <w:sz w:val="24"/>
          <w:szCs w:val="24"/>
          <w:shd w:fill="e06666" w:val="clear"/>
          <w:rtl w:val="0"/>
        </w:rPr>
        <w:t xml:space="preserve">OPTION B</w:t>
      </w:r>
      <w:r w:rsidDel="00000000" w:rsidR="00000000" w:rsidRPr="00000000">
        <w:rPr>
          <w:rFonts w:ascii="Times New Roman" w:cs="Times New Roman" w:eastAsia="Times New Roman" w:hAnsi="Times New Roman"/>
          <w:sz w:val="24"/>
          <w:szCs w:val="24"/>
          <w:shd w:fill="e06666" w:val="clear"/>
          <w:rtl w:val="0"/>
        </w:rPr>
        <w:t xml:space="preserve"> - Update the Public Utilities Article that allows projects between 2MW - 5MW to have the option to permit either through the local process or through the PSC CPCN process.</w:t>
      </w:r>
    </w:p>
    <w:p w:rsidR="00000000" w:rsidDel="00000000" w:rsidP="00000000" w:rsidRDefault="00000000" w:rsidRPr="00000000" w14:paraId="00000068">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Require</w:t>
      </w:r>
      <w:r w:rsidDel="00000000" w:rsidR="00000000" w:rsidRPr="00000000">
        <w:rPr>
          <w:rFonts w:ascii="Times New Roman" w:cs="Times New Roman" w:eastAsia="Times New Roman" w:hAnsi="Times New Roman"/>
          <w:sz w:val="24"/>
          <w:szCs w:val="24"/>
          <w:shd w:fill="e06666" w:val="clear"/>
          <w:rtl w:val="0"/>
        </w:rPr>
        <w:t xml:space="preserve"> MEA in concert with other State agencies to set a percentage of agricultural zoned land in each county that shall be made available for solar development in order to facilitate the State’s energy goals.</w:t>
      </w:r>
    </w:p>
    <w:p w:rsidR="00000000" w:rsidDel="00000000" w:rsidP="00000000" w:rsidRDefault="00000000" w:rsidRPr="00000000" w14:paraId="00000069">
      <w:pPr>
        <w:ind w:left="72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Option 1 to (29) - Require MEA in concert with other State agencies to set a percentage of land in each county that shall be made available for solar development in order to facilitate the State’s energy goals.</w:t>
      </w:r>
    </w:p>
    <w:p w:rsidR="00000000" w:rsidDel="00000000" w:rsidP="00000000" w:rsidRDefault="00000000" w:rsidRPr="00000000" w14:paraId="0000006A">
      <w:pPr>
        <w:ind w:left="72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OPTION 2 to (14) - Require MDP or the MDA in concert with other State agencies to set a percentage of agricultural land in each county that shall be made available for solar development in order to facilitate the State’s energy goals.</w:t>
      </w:r>
    </w:p>
    <w:p w:rsidR="00000000" w:rsidDel="00000000" w:rsidP="00000000" w:rsidRDefault="00000000" w:rsidRPr="00000000" w14:paraId="0000006B">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Counties</w:t>
      </w:r>
      <w:r w:rsidDel="00000000" w:rsidR="00000000" w:rsidRPr="00000000">
        <w:rPr>
          <w:rFonts w:ascii="Times New Roman" w:cs="Times New Roman" w:eastAsia="Times New Roman" w:hAnsi="Times New Roman"/>
          <w:sz w:val="24"/>
          <w:szCs w:val="24"/>
          <w:shd w:fill="e06666" w:val="clear"/>
          <w:rtl w:val="0"/>
        </w:rPr>
        <w:t xml:space="preserve"> must adopt plans that allow for energy development with restrictions no more onerous than for new commercial or residential building developments.</w:t>
      </w:r>
    </w:p>
    <w:p w:rsidR="00000000" w:rsidDel="00000000" w:rsidP="00000000" w:rsidRDefault="00000000" w:rsidRPr="00000000" w14:paraId="0000006C">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Require ground-mount solar in excess of 1 MW to meet the following criteria before the receipt of a final building permit:</w:t>
      </w:r>
    </w:p>
    <w:p w:rsidR="00000000" w:rsidDel="00000000" w:rsidP="00000000" w:rsidRDefault="00000000" w:rsidRPr="00000000" w14:paraId="0000006D">
      <w:pPr>
        <w:ind w:left="72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(31) - Set standards and best practices for ground mounted solar projects above 1MW.  These standards may include, but are not limited to:</w:t>
      </w:r>
    </w:p>
    <w:p w:rsidR="00000000" w:rsidDel="00000000" w:rsidP="00000000" w:rsidRDefault="00000000" w:rsidRPr="00000000" w14:paraId="0000006E">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Ensure topsoil remains onsite, require native vegetative mix and other appropriate protections to maintain soil integrity.</w:t>
      </w:r>
    </w:p>
    <w:p w:rsidR="00000000" w:rsidDel="00000000" w:rsidP="00000000" w:rsidRDefault="00000000" w:rsidRPr="00000000" w14:paraId="0000006F">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(31)(a) - Ensure topsoil remains onsite, require native vegetative mix or agrovoltaics and other appropriate protections to maintain soil integrity.</w:t>
      </w:r>
    </w:p>
    <w:p w:rsidR="00000000" w:rsidDel="00000000" w:rsidP="00000000" w:rsidRDefault="00000000" w:rsidRPr="00000000" w14:paraId="00000070">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Consider water run-off, pollution, and unnecessary soil compaction in the design and construction of projects.</w:t>
      </w:r>
    </w:p>
    <w:p w:rsidR="00000000" w:rsidDel="00000000" w:rsidP="00000000" w:rsidRDefault="00000000" w:rsidRPr="00000000" w14:paraId="00000071">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(31)(b) - Require water run-off, pollution, and unnecessary soil compaction in the design and construction of projects.</w:t>
      </w:r>
    </w:p>
    <w:p w:rsidR="00000000" w:rsidDel="00000000" w:rsidP="00000000" w:rsidRDefault="00000000" w:rsidRPr="00000000" w14:paraId="00000072">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Comply with the Forest Conservation Act.</w:t>
      </w:r>
    </w:p>
    <w:p w:rsidR="00000000" w:rsidDel="00000000" w:rsidP="00000000" w:rsidRDefault="00000000" w:rsidRPr="00000000" w14:paraId="00000073">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Incorporate green infrastructure to manage stormwater runoff.</w:t>
      </w:r>
    </w:p>
    <w:p w:rsidR="00000000" w:rsidDel="00000000" w:rsidP="00000000" w:rsidRDefault="00000000" w:rsidRPr="00000000" w14:paraId="00000074">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Discourage the use of herbicide to control vegetation.</w:t>
      </w:r>
    </w:p>
    <w:p w:rsidR="00000000" w:rsidDel="00000000" w:rsidP="00000000" w:rsidRDefault="00000000" w:rsidRPr="00000000" w14:paraId="00000075">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Protect nearby natural resources and wildlife habitat of special significance.</w:t>
      </w:r>
    </w:p>
    <w:p w:rsidR="00000000" w:rsidDel="00000000" w:rsidP="00000000" w:rsidRDefault="00000000" w:rsidRPr="00000000" w14:paraId="00000076">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Construct arrays with co-benefits for crops, such as pollinator habitats, and animal husbandry whenever practical.</w:t>
      </w:r>
    </w:p>
    <w:p w:rsidR="00000000" w:rsidDel="00000000" w:rsidP="00000000" w:rsidRDefault="00000000" w:rsidRPr="00000000" w14:paraId="00000077">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Non-agrivoltaic projects shall be required to specify a seed mix underneath the solar array of native vegetation and pollinators in coordination with the Maryland Department of the Environment and require the submission of a vegetation management plan.</w:t>
      </w:r>
    </w:p>
    <w:p w:rsidR="00000000" w:rsidDel="00000000" w:rsidP="00000000" w:rsidRDefault="00000000" w:rsidRPr="00000000" w14:paraId="00000078">
      <w:pPr>
        <w:ind w:left="144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(31)(h) - Non-agrivoltaic projects shall be required to specify a seed mix underneath the solar array of non-invasive vegetation and pollinators in coordination with the Maryland Department of the Environment and require the submission of a vegetation management plan.</w:t>
      </w:r>
    </w:p>
    <w:p w:rsidR="00000000" w:rsidDel="00000000" w:rsidP="00000000" w:rsidRDefault="00000000" w:rsidRPr="00000000" w14:paraId="00000079">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Coordinate with all applicable State Agencies.</w:t>
      </w:r>
    </w:p>
    <w:p w:rsidR="00000000" w:rsidDel="00000000" w:rsidP="00000000" w:rsidRDefault="00000000" w:rsidRPr="00000000" w14:paraId="0000007A">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Provide the results of the United States Fish and Wildlife Service’s Information for Planning and Consulting environmental review or a comparable successor tool that is consistent with any applicable United States Fish and Wildlife Service solar wildlife guidelines that have been subject to public review</w:t>
      </w:r>
    </w:p>
    <w:p w:rsidR="00000000" w:rsidDel="00000000" w:rsidP="00000000" w:rsidRDefault="00000000" w:rsidRPr="00000000" w14:paraId="0000007B">
      <w:pPr>
        <w:numPr>
          <w:ilvl w:val="1"/>
          <w:numId w:val="1"/>
        </w:numPr>
        <w:ind w:left="144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Host a Public Meeting and provide notice to the County as well as all parcels within ¼ mile of the project area</w:t>
      </w:r>
    </w:p>
    <w:p w:rsidR="00000000" w:rsidDel="00000000" w:rsidP="00000000" w:rsidRDefault="00000000" w:rsidRPr="00000000" w14:paraId="0000007C">
      <w:pPr>
        <w:numPr>
          <w:ilvl w:val="2"/>
          <w:numId w:val="1"/>
        </w:numPr>
        <w:ind w:left="216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When developing projects in overburdened and underserved communities, as determined by the Maryland Department of the Environment’s environmental justice screening tool, additional public outreach and community consultation will be required.</w:t>
      </w:r>
      <w:r w:rsidDel="00000000" w:rsidR="00000000" w:rsidRPr="00000000">
        <w:rPr>
          <w:rtl w:val="0"/>
        </w:rPr>
      </w:r>
    </w:p>
    <w:p w:rsidR="00000000" w:rsidDel="00000000" w:rsidP="00000000" w:rsidRDefault="00000000" w:rsidRPr="00000000" w14:paraId="0000007D">
      <w:pPr>
        <w:ind w:left="720" w:firstLine="0"/>
        <w:rPr>
          <w:rFonts w:ascii="Times New Roman" w:cs="Times New Roman" w:eastAsia="Times New Roman" w:hAnsi="Times New Roman"/>
          <w:i w:val="1"/>
          <w:color w:val="0000ff"/>
          <w:sz w:val="24"/>
          <w:szCs w:val="24"/>
          <w:shd w:fill="e06666" w:val="clear"/>
        </w:rPr>
      </w:pPr>
      <w:r w:rsidDel="00000000" w:rsidR="00000000" w:rsidRPr="00000000">
        <w:rPr>
          <w:rFonts w:ascii="Times New Roman" w:cs="Times New Roman" w:eastAsia="Times New Roman" w:hAnsi="Times New Roman"/>
          <w:i w:val="1"/>
          <w:color w:val="0000ff"/>
          <w:sz w:val="24"/>
          <w:szCs w:val="24"/>
          <w:shd w:fill="e06666" w:val="clear"/>
          <w:rtl w:val="0"/>
        </w:rPr>
        <w:t xml:space="preserve">AMENDMENT to combine (31) and (32) - solar-specific laws and permitting guidelines to incorporate best practices for estimating and managing stormwater runoff from ground-mounted solar facilities, including but not limited to consideration of pre-construction, construction, and post-construction practices that will protect and maintain the integrity of soils, the health and infiltrative capacity of vegetative ground cover, and the potential benefits of green infrastructure.</w:t>
      </w:r>
    </w:p>
    <w:p w:rsidR="00000000" w:rsidDel="00000000" w:rsidP="00000000" w:rsidRDefault="00000000" w:rsidRPr="00000000" w14:paraId="0000007E">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Update Maryland’s solar-specific laws and permitting guidelines to incorporate best practices for estimating and managing stormwater runoff.</w:t>
      </w:r>
    </w:p>
    <w:p w:rsidR="00000000" w:rsidDel="00000000" w:rsidP="00000000" w:rsidRDefault="00000000" w:rsidRPr="00000000" w14:paraId="0000007F">
      <w:pPr>
        <w:numPr>
          <w:ilvl w:val="0"/>
          <w:numId w:val="1"/>
        </w:numPr>
        <w:ind w:left="720" w:hanging="360"/>
        <w:rPr>
          <w:rFonts w:ascii="Times New Roman" w:cs="Times New Roman" w:eastAsia="Times New Roman" w:hAnsi="Times New Roman"/>
          <w:sz w:val="24"/>
          <w:szCs w:val="24"/>
          <w:shd w:fill="e06666" w:val="clear"/>
        </w:rPr>
      </w:pPr>
      <w:r w:rsidDel="00000000" w:rsidR="00000000" w:rsidRPr="00000000">
        <w:rPr>
          <w:rFonts w:ascii="Times New Roman" w:cs="Times New Roman" w:eastAsia="Times New Roman" w:hAnsi="Times New Roman"/>
          <w:sz w:val="24"/>
          <w:szCs w:val="24"/>
          <w:shd w:fill="e06666" w:val="clear"/>
          <w:rtl w:val="0"/>
        </w:rPr>
        <w:t xml:space="preserve">Create an ombudsman position at MEA or PSC for questions and concerns regarding the implementation of permitting and siting, to serve as a mediator for conflicts between applicants and counties.</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vie Schwartz -MEA-" w:id="1" w:date="2024-01-08T05:27:16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 recommendations on solar siting were not adopted, but there was consensus that the report must reflect the general lessons learned from the discussions on solar siting.</w:t>
      </w:r>
    </w:p>
  </w:comment>
  <w:comment w:author="Evie Schwartz -MEA-" w:id="0" w:date="2024-01-08T05:24:12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 percentage breakdowns between priorities for ACP funds were not adopted, but there was consensus that the report should reflect a general statement that MEA must be conscientious to employ ACP funding to:</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support multiple project types, including community solar and single-family rooftop solar;</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support multiple financing tools, including grant and loan programs.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Task Force to Study Solar Incentives</w:t>
      <w:br w:type="textWrapping"/>
      <w:t xml:space="preserve">Recommendations List for Consideration</w:t>
    </w:r>
  </w:p>
  <w:p w:rsidR="00000000" w:rsidDel="00000000" w:rsidP="00000000" w:rsidRDefault="00000000" w:rsidRPr="00000000" w14:paraId="0000008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after 1/5/24 Final Meeting / Voting adjourned</w:t>
    </w:r>
  </w:p>
  <w:p w:rsidR="00000000" w:rsidDel="00000000" w:rsidP="00000000" w:rsidRDefault="00000000" w:rsidRPr="00000000" w14:paraId="00000087">
    <w:pPr>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To submit additional comments, please contact </w:t>
    </w:r>
    <w:hyperlink r:id="rId1">
      <w:r w:rsidDel="00000000" w:rsidR="00000000" w:rsidRPr="00000000">
        <w:rPr>
          <w:rFonts w:ascii="Times New Roman" w:cs="Times New Roman" w:eastAsia="Times New Roman" w:hAnsi="Times New Roman"/>
          <w:color w:val="1155cc"/>
          <w:sz w:val="20"/>
          <w:szCs w:val="20"/>
          <w:u w:val="single"/>
          <w:rtl w:val="0"/>
        </w:rPr>
        <w:t xml:space="preserve">SolarTaskForce.MEA@Maryland.gov</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t>
      <w:br w:type="textWrapping"/>
    </w:r>
    <w:r w:rsidDel="00000000" w:rsidR="00000000" w:rsidRPr="00000000">
      <w:rPr>
        <w:rFonts w:ascii="Times New Roman" w:cs="Times New Roman" w:eastAsia="Times New Roman" w:hAnsi="Times New Roman"/>
        <w:sz w:val="24"/>
        <w:szCs w:val="24"/>
        <w:highlight w:val="green"/>
        <w:rtl w:val="0"/>
      </w:rPr>
      <w:t xml:space="preserve">Items Adopted (majority of members present voted YES)</w:t>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e06666" w:val="clear"/>
        <w:rtl w:val="0"/>
      </w:rPr>
      <w:t xml:space="preserve">Items NOT Adopted (majority of members present voted NO or ABSTAINED; or there was no motion to vote)</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comments" Target="comment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SolarTaskForce.MEA@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1ED79-AC0C-43C3-8517-B514CC210B40}"/>
</file>

<file path=customXml/itemProps2.xml><?xml version="1.0" encoding="utf-8"?>
<ds:datastoreItem xmlns:ds="http://schemas.openxmlformats.org/officeDocument/2006/customXml" ds:itemID="{E2CAF830-BA04-4C2C-B798-250774B701F7}"/>
</file>

<file path=customXml/itemProps3.xml><?xml version="1.0" encoding="utf-8"?>
<ds:datastoreItem xmlns:ds="http://schemas.openxmlformats.org/officeDocument/2006/customXml" ds:itemID="{327D3A30-25A4-456D-AF21-ABD930883DE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