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Commercial Measure Savings Estimate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You may use this Energy Savings Estimate Supporting Documentation tool to submit supporting documentation for the energy savings estimates indicated in your application’s proposed measure(s) to meet the supporting documentation </w:t>
      </w:r>
      <w:r w:rsidDel="00000000" w:rsidR="00000000" w:rsidRPr="00000000">
        <w:rPr>
          <w:b w:val="1"/>
          <w:i w:val="1"/>
          <w:rtl w:val="0"/>
        </w:rPr>
        <w:t xml:space="preserve">requirement</w:t>
      </w:r>
      <w:r w:rsidDel="00000000" w:rsidR="00000000" w:rsidRPr="00000000">
        <w:rPr>
          <w:b w:val="1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3811"/>
        <w:gridCol w:w="3613"/>
        <w:tblGridChange w:id="0">
          <w:tblGrid>
            <w:gridCol w:w="1926"/>
            <w:gridCol w:w="3811"/>
            <w:gridCol w:w="3613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Measure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Equation(s) Used to Calculate Energy Savings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Source and/or Justification of Above Equation(s)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Calculated Result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List of Variables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Variable’s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Quantity Assumed/Used, Justification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Add more rows if necessary…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Materials 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Labor 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Total Measure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tblGridChange w:id="0">
          <w:tblGrid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Simple Payback (years)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Below are examples of two different measures (boiler tune-up, attic insulation) to assist you with completing the Commercial Measure Savings Estimate Template.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Commercial Measure Savings Estimate: Sample HVAC Project</w:t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3811"/>
        <w:gridCol w:w="3613"/>
        <w:tblGridChange w:id="0">
          <w:tblGrid>
            <w:gridCol w:w="1926"/>
            <w:gridCol w:w="3811"/>
            <w:gridCol w:w="3613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Measure</w:t>
            </w:r>
          </w:p>
          <w:p w:rsidR="00000000" w:rsidDel="00000000" w:rsidP="00000000" w:rsidRDefault="00000000" w:rsidRPr="00000000" w14:paraId="0000003A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Boiler Tune-up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Equation(s) Used to Calculate Energy Savings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ΔMMBTU = CAP * HOURS * (1/EFF</w:t>
            </w:r>
            <w:r w:rsidDel="00000000" w:rsidR="00000000" w:rsidRPr="00000000">
              <w:rPr>
                <w:vertAlign w:val="subscript"/>
                <w:rtl w:val="0"/>
              </w:rPr>
              <w:t xml:space="preserve">base</w:t>
            </w:r>
            <w:r w:rsidDel="00000000" w:rsidR="00000000" w:rsidRPr="00000000">
              <w:rPr>
                <w:rtl w:val="0"/>
              </w:rPr>
              <w:t xml:space="preserve"> – 1/EFF</w:t>
            </w:r>
            <w:r w:rsidDel="00000000" w:rsidR="00000000" w:rsidRPr="00000000">
              <w:rPr>
                <w:vertAlign w:val="subscript"/>
                <w:rtl w:val="0"/>
              </w:rPr>
              <w:t xml:space="preserve">ee</w:t>
            </w:r>
            <w:r w:rsidDel="00000000" w:rsidR="00000000" w:rsidRPr="00000000">
              <w:rPr>
                <w:rtl w:val="0"/>
              </w:rPr>
              <w:t xml:space="preserve">) / 1,000,000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rPr>
                <w:i w:val="1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Source and/or Justification of Above Equation(s)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Mid-Atlantic TRM v9, pg 443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This equation is prescribed for use when a boiler is replaced, but a boiler tune-up can be modeled mathematically as a replacement.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Calculated Result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ΔMMBTU = 600,000 * 256 * (1/0.56 – 1/0.8) / 1,000,000 = </w:t>
            </w:r>
            <w:r w:rsidDel="00000000" w:rsidR="00000000" w:rsidRPr="00000000">
              <w:rPr>
                <w:b w:val="1"/>
                <w:rtl w:val="0"/>
              </w:rPr>
              <w:t xml:space="preserve">82.29 MMBTU/yr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List of Variables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Variable’s Meaning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Quantity Assumed/Used, Justification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CAP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Equipment capacity [BTU/h]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600,000; equipment specification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HOURS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Full load heating hours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256; TRM pg 590: multifamily, common area; Baltimore, MD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EFF</w:t>
            </w:r>
            <w:r w:rsidDel="00000000" w:rsidR="00000000" w:rsidRPr="00000000">
              <w:rPr>
                <w:vertAlign w:val="subscript"/>
                <w:rtl w:val="0"/>
              </w:rPr>
              <w:t xml:space="preserve">base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Efficiency before tune-up; expressed in E</w:t>
            </w:r>
            <w:r w:rsidDel="00000000" w:rsidR="00000000" w:rsidRPr="00000000">
              <w:rPr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(Thermal efficiency)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56%; measured w/ combustion analyzer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EFF</w:t>
            </w:r>
            <w:r w:rsidDel="00000000" w:rsidR="00000000" w:rsidRPr="00000000">
              <w:rPr>
                <w:vertAlign w:val="subscript"/>
                <w:rtl w:val="0"/>
              </w:rPr>
              <w:t xml:space="preserve">ee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Efficiency after tune-up; expressed in E</w:t>
            </w:r>
            <w:r w:rsidDel="00000000" w:rsidR="00000000" w:rsidRPr="00000000">
              <w:rPr>
                <w:vertAlign w:val="subscript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 (Thermal efficiency)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80%; measured w/ combustion analyzer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1,000,000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Conversion between BTU and MMBTU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Materials Cost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Labor Cost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Total Measure 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2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tblGridChange w:id="0">
          <w:tblGrid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Simple Payback (years)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rtl w:val="0"/>
        </w:rPr>
        <w:t xml:space="preserve">Sample Weatherization Project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6"/>
        <w:gridCol w:w="3811"/>
        <w:gridCol w:w="3613"/>
        <w:tblGridChange w:id="0">
          <w:tblGrid>
            <w:gridCol w:w="1926"/>
            <w:gridCol w:w="3811"/>
            <w:gridCol w:w="3613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E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Measure</w:t>
            </w:r>
          </w:p>
          <w:p w:rsidR="00000000" w:rsidDel="00000000" w:rsidP="00000000" w:rsidRDefault="00000000" w:rsidRPr="00000000" w14:paraId="0000006F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Attic Insulation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2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Month of Installation</w:t>
            </w:r>
          </w:p>
          <w:p w:rsidR="00000000" w:rsidDel="00000000" w:rsidP="00000000" w:rsidRDefault="00000000" w:rsidRPr="00000000" w14:paraId="00000073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January 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Equation(s) Used to Calculate Energy Savings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ΔkWh(cooling) = ((1/R</w:t>
            </w:r>
            <w:r w:rsidDel="00000000" w:rsidR="00000000" w:rsidRPr="00000000">
              <w:rPr>
                <w:vertAlign w:val="subscript"/>
                <w:rtl w:val="0"/>
              </w:rPr>
              <w:t xml:space="preserve">exist</w:t>
            </w:r>
            <w:r w:rsidDel="00000000" w:rsidR="00000000" w:rsidRPr="00000000">
              <w:rPr>
                <w:rtl w:val="0"/>
              </w:rPr>
              <w:t xml:space="preserve"> – 1/R</w:t>
            </w:r>
            <w:r w:rsidDel="00000000" w:rsidR="00000000" w:rsidRPr="00000000">
              <w:rPr>
                <w:vertAlign w:val="subscript"/>
                <w:rtl w:val="0"/>
              </w:rPr>
              <w:t xml:space="preserve">new</w:t>
            </w:r>
            <w:r w:rsidDel="00000000" w:rsidR="00000000" w:rsidRPr="00000000">
              <w:rPr>
                <w:rtl w:val="0"/>
              </w:rPr>
              <w:t xml:space="preserve">) * CDH * DUA * Area) / 1,000 / ηCool * Adjcool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ΔMMBTU = ((1/R</w:t>
            </w:r>
            <w:r w:rsidDel="00000000" w:rsidR="00000000" w:rsidRPr="00000000">
              <w:rPr>
                <w:vertAlign w:val="subscript"/>
                <w:rtl w:val="0"/>
              </w:rPr>
              <w:t xml:space="preserve">exist</w:t>
            </w:r>
            <w:r w:rsidDel="00000000" w:rsidR="00000000" w:rsidRPr="00000000">
              <w:rPr>
                <w:rtl w:val="0"/>
              </w:rPr>
              <w:t xml:space="preserve"> – 1/R</w:t>
            </w:r>
            <w:r w:rsidDel="00000000" w:rsidR="00000000" w:rsidRPr="00000000">
              <w:rPr>
                <w:vertAlign w:val="subscript"/>
                <w:rtl w:val="0"/>
              </w:rPr>
              <w:t xml:space="preserve">new</w:t>
            </w:r>
            <w:r w:rsidDel="00000000" w:rsidR="00000000" w:rsidRPr="00000000">
              <w:rPr>
                <w:rtl w:val="0"/>
              </w:rPr>
              <w:t xml:space="preserve">) * HDD * 24 * Area) / 1,000,000 / ηHeat * Adjheat</w:t>
            </w:r>
          </w:p>
        </w:tc>
      </w:tr>
      <w:tr>
        <w:trPr>
          <w:cantSplit w:val="0"/>
          <w:trHeight w:val="114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D">
            <w:pPr>
              <w:rPr>
                <w:i w:val="1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Source and/or Justification of Above Equation(s)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Mid-Atlantic TRM pg 264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Equation intended for residential use, but choosing to use for this commercial application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3">
            <w:pPr>
              <w:rPr>
                <w:i w:val="1"/>
                <w:u w:val="single"/>
              </w:rPr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Calculated Result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ΔkWh(cooling) = ((1/5 – 1/56) * 9616 * 0.75 * 9000) / 1,000 / 9 * 0.8 = 1050.9 kWh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ΔMMBTU = ((1/5 – 1/56) * 3457 * 24 * 9000) / 1,000,000 / 0.4368 * 0.6 = 186.8 MMBTU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List of Variables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Description of Variable’s Meaning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Quantity Assumed/Used, Justification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vertAlign w:val="subscript"/>
                <w:rtl w:val="0"/>
              </w:rPr>
              <w:t xml:space="preserve">exist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R value of insulation present before retrofit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5; preexisting insulation not present, so R5 is assumed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vertAlign w:val="subscript"/>
                <w:rtl w:val="0"/>
              </w:rPr>
              <w:t xml:space="preserve">new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R value of insulation installed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56; 16 inches blown-in cellulose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CDH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Cooling Degree Hours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9,616; given for Baltimore on TRM pg 261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DUA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Discretionary Use Adjustment…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0.75; recommended on pg 261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Area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Square footage covered by new insulation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9,000; taken from floor plan, verified via volume of insulation used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ηCool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Efficiency in SEER of AC equipment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9; known unit specifications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Adjcool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“Adjusts savings derived through engineering algorithms to actual savings measured in field.”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0.8; TRM pg 261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HDD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Heating Degree Days</w:t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3,457; given for Baltimore on TRM pg 262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ηHeat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Efficiency in of Heating Equipment (equipment efficiency * distribution efficiency)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56% * 78% = 43.68%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56% equipment efficiency (measured)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78% dist. efficiency (assumed, TRM pg 264)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Adjheat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“Factor adjusts predicted values from engineering estimates to better match the actual values as measured in the field.”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0.60; assumption supplied on pg 265 of TRM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Materials 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Labor Cost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Total Measure 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color w:val="e7e6e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color w:val="e7e6e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color w:val="e7e6e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2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tblGridChange w:id="0">
          <w:tblGrid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i w:val="1"/>
                <w:u w:val="single"/>
                <w:rtl w:val="0"/>
              </w:rPr>
              <w:t xml:space="preserve">Simple Payback (years)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color w:val="e7e6e6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8B3D4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07A7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7A78"/>
  </w:style>
  <w:style w:type="paragraph" w:styleId="Footer">
    <w:name w:val="footer"/>
    <w:basedOn w:val="Normal"/>
    <w:link w:val="FooterChar"/>
    <w:uiPriority w:val="99"/>
    <w:unhideWhenUsed w:val="1"/>
    <w:rsid w:val="00707A7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07A78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D4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D47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D47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D47B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D47BD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D47B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D47B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304004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Mx2nozGQxbd+jH7K5yaScW10g==">CgMxLjAyCGguZ2pkZ3hzOAByITFwWTFSTUZxZDJRZXZCUEpEUi1iQTJqRDZHbHNfeTBTSA==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3FF853-374B-4EED-975C-307753B9221A}"/>
</file>

<file path=customXML/itemProps3.xml><?xml version="1.0" encoding="utf-8"?>
<ds:datastoreItem xmlns:ds="http://schemas.openxmlformats.org/officeDocument/2006/customXml" ds:itemID="{077DA661-FD2D-427C-84A8-FCA8C1F567AD}"/>
</file>

<file path=customXML/itemProps4.xml><?xml version="1.0" encoding="utf-8"?>
<ds:datastoreItem xmlns:ds="http://schemas.openxmlformats.org/officeDocument/2006/customXml" ds:itemID="{52517C3A-D1F6-45E5-9AA4-9C9CEE78194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 Thompson</dc:creator>
  <dcterms:created xsi:type="dcterms:W3CDTF">2022-09-19T15:17:00Z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