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318336367"/>
        <w:docPartObj>
          <w:docPartGallery w:val="Page Numbers (Top of Page)"/>
          <w:docPartUnique/>
        </w:docPartObj>
      </w:sdtPr>
      <w:sdtEndPr/>
      <w:sdtContent>
        <w:p w14:paraId="2F1A8DC9" w14:textId="6767F76F" w:rsidR="00DA3134" w:rsidRDefault="00DA3134" w:rsidP="00DA313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sidR="00F33108">
            <w:rPr>
              <w:b/>
              <w:bCs/>
              <w:sz w:val="24"/>
              <w:szCs w:val="24"/>
            </w:rPr>
            <w:t>15</w:t>
          </w:r>
        </w:p>
      </w:sdtContent>
    </w:sdt>
    <w:p w14:paraId="28BE371B" w14:textId="77777777" w:rsidR="00DA3134" w:rsidRDefault="00DA3134" w:rsidP="00DA3134">
      <w:pPr>
        <w:pStyle w:val="Header"/>
        <w:jc w:val="center"/>
        <w:rPr>
          <w:b/>
          <w:sz w:val="32"/>
        </w:rPr>
      </w:pPr>
      <w:r>
        <w:rPr>
          <w:noProof/>
        </w:rPr>
        <w:drawing>
          <wp:anchor distT="0" distB="0" distL="114300" distR="114300" simplePos="0" relativeHeight="251659264" behindDoc="1" locked="0" layoutInCell="1" allowOverlap="1" wp14:anchorId="13368813" wp14:editId="2E0F0DEE">
            <wp:simplePos x="0" y="0"/>
            <wp:positionH relativeFrom="margin">
              <wp:align>left</wp:align>
            </wp:positionH>
            <wp:positionV relativeFrom="paragraph">
              <wp:posOffset>-66675</wp:posOffset>
            </wp:positionV>
            <wp:extent cx="1524000" cy="55308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b/>
          <w:sz w:val="32"/>
        </w:rPr>
        <w:t>FY18 Clean Energy Communities</w:t>
      </w:r>
    </w:p>
    <w:p w14:paraId="2454CD8B" w14:textId="77777777" w:rsidR="00DA3134" w:rsidRDefault="00DA3134" w:rsidP="00DA3134">
      <w:pPr>
        <w:pStyle w:val="Header"/>
        <w:jc w:val="center"/>
        <w:rPr>
          <w:b/>
          <w:sz w:val="32"/>
        </w:rPr>
      </w:pPr>
      <w:r>
        <w:rPr>
          <w:b/>
          <w:sz w:val="32"/>
        </w:rPr>
        <w:t>Low-to-Moderate Income Grant Program</w:t>
      </w:r>
    </w:p>
    <w:p w14:paraId="645E12F4" w14:textId="77777777" w:rsidR="00DA3134" w:rsidRDefault="00DA3134" w:rsidP="00DA3134">
      <w:pPr>
        <w:pStyle w:val="Header"/>
        <w:jc w:val="center"/>
        <w:rPr>
          <w:b/>
          <w:sz w:val="24"/>
        </w:rPr>
      </w:pPr>
    </w:p>
    <w:p w14:paraId="080A0318" w14:textId="0DAC6E28" w:rsidR="00DA3134" w:rsidRDefault="00DA3134" w:rsidP="00DA3134">
      <w:pPr>
        <w:pStyle w:val="Header"/>
        <w:jc w:val="center"/>
        <w:rPr>
          <w:sz w:val="28"/>
        </w:rPr>
      </w:pPr>
      <w:r>
        <w:rPr>
          <w:sz w:val="28"/>
        </w:rPr>
        <w:t>County-allocated</w:t>
      </w:r>
      <w:r w:rsidRPr="00D37E47">
        <w:rPr>
          <w:sz w:val="28"/>
        </w:rPr>
        <w:t xml:space="preserve"> </w:t>
      </w:r>
      <w:r>
        <w:rPr>
          <w:sz w:val="28"/>
        </w:rPr>
        <w:t>Platform</w:t>
      </w:r>
    </w:p>
    <w:p w14:paraId="03256B24" w14:textId="77777777" w:rsidR="00DA3134" w:rsidRDefault="00DA3134" w:rsidP="00DA3134">
      <w:pPr>
        <w:pStyle w:val="Header"/>
        <w:jc w:val="center"/>
        <w:rPr>
          <w:sz w:val="28"/>
        </w:rPr>
      </w:pPr>
      <w:r w:rsidRPr="00D37E47">
        <w:rPr>
          <w:sz w:val="28"/>
        </w:rPr>
        <w:t xml:space="preserve">Application </w:t>
      </w:r>
      <w:r>
        <w:rPr>
          <w:sz w:val="28"/>
        </w:rPr>
        <w:t>Instructions</w:t>
      </w:r>
    </w:p>
    <w:p w14:paraId="7B4D5553" w14:textId="77777777" w:rsidR="004D27A2" w:rsidRPr="00420294" w:rsidRDefault="004D27A2">
      <w:pPr>
        <w:rPr>
          <w:sz w:val="16"/>
          <w:szCs w:val="16"/>
        </w:rPr>
      </w:pPr>
    </w:p>
    <w:p w14:paraId="4419723F" w14:textId="77777777" w:rsidR="00B650C9" w:rsidRPr="009A0FE3" w:rsidRDefault="00B650C9" w:rsidP="00B650C9">
      <w:pPr>
        <w:spacing w:after="0"/>
        <w:jc w:val="center"/>
        <w:rPr>
          <w:b/>
          <w:color w:val="FF0000"/>
          <w:sz w:val="24"/>
        </w:rPr>
      </w:pPr>
      <w:r w:rsidRPr="009A0FE3">
        <w:rPr>
          <w:b/>
          <w:color w:val="FF0000"/>
          <w:sz w:val="24"/>
        </w:rPr>
        <w:t xml:space="preserve">APPLICATION DEADLINE: FRIDAY, OCTOBER 6, 2017 </w:t>
      </w:r>
    </w:p>
    <w:p w14:paraId="0DCFD2DC" w14:textId="57DACED0" w:rsidR="00B650C9" w:rsidRPr="00F70511" w:rsidRDefault="00B650C9" w:rsidP="00B650C9">
      <w:pPr>
        <w:jc w:val="center"/>
        <w:rPr>
          <w:sz w:val="24"/>
        </w:rPr>
      </w:pPr>
    </w:p>
    <w:p w14:paraId="1C36140C" w14:textId="24DE425B" w:rsidR="004C1F2A" w:rsidRPr="00D40272" w:rsidRDefault="00242240" w:rsidP="001A295A">
      <w:pPr>
        <w:spacing w:after="0"/>
        <w:rPr>
          <w:b/>
          <w:sz w:val="24"/>
          <w:szCs w:val="24"/>
        </w:rPr>
      </w:pPr>
      <w:hyperlink w:anchor="Overview" w:history="1">
        <w:r w:rsidR="004C1F2A" w:rsidRPr="00D40272">
          <w:rPr>
            <w:rStyle w:val="Hyperlink"/>
            <w:b/>
            <w:sz w:val="24"/>
            <w:szCs w:val="24"/>
          </w:rPr>
          <w:t>Overview</w:t>
        </w:r>
      </w:hyperlink>
      <w:r w:rsidR="004C1F2A" w:rsidRPr="00D40272">
        <w:rPr>
          <w:b/>
          <w:sz w:val="24"/>
          <w:szCs w:val="24"/>
        </w:rPr>
        <w:tab/>
      </w:r>
      <w:r w:rsidR="004C1F2A" w:rsidRPr="00D40272">
        <w:rPr>
          <w:b/>
          <w:sz w:val="24"/>
          <w:szCs w:val="24"/>
        </w:rPr>
        <w:tab/>
      </w:r>
      <w:r w:rsidR="004C1F2A" w:rsidRPr="00D40272">
        <w:rPr>
          <w:b/>
          <w:sz w:val="24"/>
          <w:szCs w:val="24"/>
        </w:rPr>
        <w:tab/>
      </w:r>
      <w:r w:rsidR="004C1F2A" w:rsidRPr="00D40272">
        <w:rPr>
          <w:b/>
          <w:sz w:val="24"/>
          <w:szCs w:val="24"/>
        </w:rPr>
        <w:tab/>
      </w:r>
      <w:r w:rsidR="004C1F2A" w:rsidRPr="00D40272">
        <w:rPr>
          <w:b/>
          <w:sz w:val="24"/>
          <w:szCs w:val="24"/>
        </w:rPr>
        <w:tab/>
      </w:r>
      <w:r w:rsidR="004C1F2A" w:rsidRPr="00D40272">
        <w:rPr>
          <w:b/>
          <w:sz w:val="24"/>
          <w:szCs w:val="24"/>
        </w:rPr>
        <w:tab/>
      </w:r>
      <w:hyperlink w:anchor="Submission" w:history="1">
        <w:r w:rsidR="004C1F2A" w:rsidRPr="00D40272">
          <w:rPr>
            <w:rStyle w:val="Hyperlink"/>
            <w:b/>
            <w:sz w:val="24"/>
            <w:szCs w:val="24"/>
          </w:rPr>
          <w:t>Application Submission</w:t>
        </w:r>
      </w:hyperlink>
    </w:p>
    <w:p w14:paraId="69D78627" w14:textId="1E56630C" w:rsidR="004C1F2A" w:rsidRDefault="00242240" w:rsidP="001A295A">
      <w:pPr>
        <w:spacing w:after="0"/>
        <w:rPr>
          <w:b/>
          <w:sz w:val="24"/>
          <w:szCs w:val="24"/>
        </w:rPr>
      </w:pPr>
      <w:hyperlink w:anchor="Eligibility" w:history="1">
        <w:r w:rsidR="004C1F2A" w:rsidRPr="00D40272">
          <w:rPr>
            <w:rStyle w:val="Hyperlink"/>
            <w:b/>
            <w:sz w:val="24"/>
            <w:szCs w:val="24"/>
          </w:rPr>
          <w:t>Eligibility &amp; Terms</w:t>
        </w:r>
      </w:hyperlink>
      <w:r w:rsidR="004C1F2A">
        <w:rPr>
          <w:b/>
          <w:sz w:val="24"/>
          <w:szCs w:val="24"/>
        </w:rPr>
        <w:tab/>
      </w:r>
      <w:r w:rsidR="004C1F2A">
        <w:rPr>
          <w:b/>
          <w:sz w:val="24"/>
          <w:szCs w:val="24"/>
        </w:rPr>
        <w:tab/>
      </w:r>
      <w:r w:rsidR="004C1F2A">
        <w:rPr>
          <w:b/>
          <w:sz w:val="24"/>
          <w:szCs w:val="24"/>
        </w:rPr>
        <w:tab/>
      </w:r>
      <w:r w:rsidR="004C1F2A">
        <w:rPr>
          <w:b/>
          <w:sz w:val="24"/>
          <w:szCs w:val="24"/>
        </w:rPr>
        <w:tab/>
      </w:r>
      <w:r w:rsidR="004C1F2A">
        <w:rPr>
          <w:b/>
          <w:sz w:val="24"/>
          <w:szCs w:val="24"/>
        </w:rPr>
        <w:tab/>
      </w:r>
      <w:hyperlink w:anchor="GranteeResponsibilities" w:history="1">
        <w:r w:rsidR="004C1F2A" w:rsidRPr="00FD70DA">
          <w:rPr>
            <w:rStyle w:val="Hyperlink"/>
            <w:b/>
            <w:sz w:val="24"/>
            <w:szCs w:val="24"/>
          </w:rPr>
          <w:t>Grantee Responsibilities</w:t>
        </w:r>
      </w:hyperlink>
    </w:p>
    <w:p w14:paraId="27664F6F" w14:textId="3523A55A" w:rsidR="004C1F2A" w:rsidRPr="001A295A" w:rsidRDefault="00242240" w:rsidP="001A295A">
      <w:pPr>
        <w:spacing w:after="0"/>
        <w:rPr>
          <w:b/>
          <w:sz w:val="24"/>
          <w:szCs w:val="24"/>
        </w:rPr>
      </w:pPr>
      <w:hyperlink w:anchor="Preparing" w:history="1">
        <w:r w:rsidR="004C1F2A" w:rsidRPr="00FD70DA">
          <w:rPr>
            <w:rStyle w:val="Hyperlink"/>
            <w:b/>
            <w:sz w:val="24"/>
            <w:szCs w:val="24"/>
          </w:rPr>
          <w:t>Preparing a Competitive Application</w:t>
        </w:r>
      </w:hyperlink>
    </w:p>
    <w:p w14:paraId="61ABDE35" w14:textId="77777777" w:rsidR="004C1F2A" w:rsidRDefault="004C1F2A" w:rsidP="00CB2A0B">
      <w:pPr>
        <w:rPr>
          <w:b/>
          <w:sz w:val="28"/>
        </w:rPr>
      </w:pPr>
    </w:p>
    <w:p w14:paraId="0B686DB5" w14:textId="77777777" w:rsidR="00D37E47" w:rsidRDefault="00CB2A0B" w:rsidP="00CB2A0B">
      <w:pPr>
        <w:rPr>
          <w:b/>
          <w:sz w:val="28"/>
        </w:rPr>
      </w:pPr>
      <w:bookmarkStart w:id="1" w:name="Overview"/>
      <w:r>
        <w:rPr>
          <w:b/>
          <w:sz w:val="28"/>
        </w:rPr>
        <w:t>Overview</w:t>
      </w:r>
    </w:p>
    <w:bookmarkEnd w:id="1"/>
    <w:p w14:paraId="40456E41" w14:textId="70D745BB" w:rsidR="00CB2A0B" w:rsidRDefault="00CB2A0B" w:rsidP="00CB2A0B">
      <w:pPr>
        <w:rPr>
          <w:sz w:val="24"/>
        </w:rPr>
      </w:pPr>
      <w:r>
        <w:rPr>
          <w:sz w:val="24"/>
        </w:rPr>
        <w:t xml:space="preserve">The </w:t>
      </w:r>
      <w:r w:rsidR="003B0CEE">
        <w:rPr>
          <w:sz w:val="24"/>
        </w:rPr>
        <w:t>County</w:t>
      </w:r>
      <w:r w:rsidR="000C5795">
        <w:rPr>
          <w:sz w:val="24"/>
        </w:rPr>
        <w:t>-allocated</w:t>
      </w:r>
      <w:r>
        <w:rPr>
          <w:sz w:val="24"/>
        </w:rPr>
        <w:t xml:space="preserve"> </w:t>
      </w:r>
      <w:r w:rsidR="00FD5CB0">
        <w:rPr>
          <w:sz w:val="24"/>
        </w:rPr>
        <w:t>Platform</w:t>
      </w:r>
      <w:r>
        <w:rPr>
          <w:sz w:val="24"/>
        </w:rPr>
        <w:t xml:space="preserve"> of the Fiscal Year 2018 </w:t>
      </w:r>
      <w:r w:rsidR="00812EA1">
        <w:rPr>
          <w:sz w:val="24"/>
        </w:rPr>
        <w:t>(FY18</w:t>
      </w:r>
      <w:r w:rsidR="00087219">
        <w:rPr>
          <w:sz w:val="24"/>
        </w:rPr>
        <w:t xml:space="preserve">) </w:t>
      </w:r>
      <w:r>
        <w:rPr>
          <w:sz w:val="24"/>
        </w:rPr>
        <w:t>Clean Energy Communities Low-to-</w:t>
      </w:r>
      <w:r w:rsidR="00812EA1">
        <w:rPr>
          <w:sz w:val="24"/>
        </w:rPr>
        <w:t>Moderate Income Grant Program (Program</w:t>
      </w:r>
      <w:r>
        <w:rPr>
          <w:sz w:val="24"/>
        </w:rPr>
        <w:t xml:space="preserve">) has been allocated approximately $2.5 million, subject to funding availability, from the Strategic Energy Investment Fund (“SEIF”). The Program funds (“Funds”) are available to entities that serve Maryland’s low-to-moderate income (“LMI”) </w:t>
      </w:r>
      <w:r w:rsidR="000C5795">
        <w:rPr>
          <w:sz w:val="24"/>
        </w:rPr>
        <w:t>residents</w:t>
      </w:r>
      <w:r>
        <w:rPr>
          <w:sz w:val="24"/>
        </w:rPr>
        <w:t>.</w:t>
      </w:r>
    </w:p>
    <w:p w14:paraId="42A3819D" w14:textId="0CCD6E4D" w:rsidR="00CB2A0B" w:rsidRPr="003D54AA" w:rsidRDefault="00CB2A0B" w:rsidP="00CB2A0B">
      <w:pPr>
        <w:rPr>
          <w:sz w:val="24"/>
        </w:rPr>
      </w:pPr>
      <w:r>
        <w:rPr>
          <w:sz w:val="24"/>
        </w:rPr>
        <w:t xml:space="preserve">Clean </w:t>
      </w:r>
      <w:r w:rsidR="00812EA1">
        <w:rPr>
          <w:sz w:val="24"/>
        </w:rPr>
        <w:t>Energy Communities LMI grants (Grants</w:t>
      </w:r>
      <w:r>
        <w:rPr>
          <w:sz w:val="24"/>
        </w:rPr>
        <w:t>) will be competitively awarded for energy efficiency projects that generate significant energy savings</w:t>
      </w:r>
      <w:r w:rsidR="003D54AA">
        <w:rPr>
          <w:sz w:val="24"/>
        </w:rPr>
        <w:t xml:space="preserve"> and pass</w:t>
      </w:r>
      <w:r>
        <w:rPr>
          <w:sz w:val="24"/>
        </w:rPr>
        <w:t xml:space="preserve"> on the benefits of the savings to Maryland’s LMI residents. </w:t>
      </w:r>
      <w:r w:rsidRPr="003D54AA">
        <w:rPr>
          <w:sz w:val="24"/>
          <w:u w:val="single"/>
        </w:rPr>
        <w:t xml:space="preserve">Projects that maximize energy savings and the number of </w:t>
      </w:r>
      <w:r>
        <w:rPr>
          <w:sz w:val="24"/>
          <w:u w:val="single"/>
        </w:rPr>
        <w:t>LMI</w:t>
      </w:r>
      <w:r w:rsidRPr="003D54AA">
        <w:rPr>
          <w:sz w:val="24"/>
          <w:u w:val="single"/>
        </w:rPr>
        <w:t xml:space="preserve"> residents served will receive grant funding priority.</w:t>
      </w:r>
    </w:p>
    <w:p w14:paraId="15B04140" w14:textId="5CF89F17" w:rsidR="00CB2A0B" w:rsidRDefault="00CB2A0B" w:rsidP="00CB2A0B">
      <w:pPr>
        <w:rPr>
          <w:sz w:val="24"/>
        </w:rPr>
      </w:pPr>
      <w:r>
        <w:rPr>
          <w:sz w:val="24"/>
        </w:rPr>
        <w:t xml:space="preserve">Funds are allocated to each Maryland </w:t>
      </w:r>
      <w:r w:rsidR="003B0CEE">
        <w:rPr>
          <w:sz w:val="24"/>
        </w:rPr>
        <w:t>County</w:t>
      </w:r>
      <w:r>
        <w:rPr>
          <w:sz w:val="24"/>
        </w:rPr>
        <w:t xml:space="preserve"> (or </w:t>
      </w:r>
      <w:r w:rsidR="003B0CEE">
        <w:rPr>
          <w:sz w:val="24"/>
        </w:rPr>
        <w:t>County</w:t>
      </w:r>
      <w:r>
        <w:rPr>
          <w:sz w:val="24"/>
        </w:rPr>
        <w:t xml:space="preserve"> equivalent) based on the number of LMI income households located within the respective </w:t>
      </w:r>
      <w:r w:rsidR="003B0CEE">
        <w:rPr>
          <w:sz w:val="24"/>
        </w:rPr>
        <w:t>County</w:t>
      </w:r>
      <w:r>
        <w:rPr>
          <w:sz w:val="24"/>
        </w:rPr>
        <w:t xml:space="preserve"> (or </w:t>
      </w:r>
      <w:r w:rsidR="003B0CEE">
        <w:rPr>
          <w:sz w:val="24"/>
        </w:rPr>
        <w:t>County</w:t>
      </w:r>
      <w:r>
        <w:rPr>
          <w:sz w:val="24"/>
        </w:rPr>
        <w:t xml:space="preserve"> equivalent) to ensure an equitab</w:t>
      </w:r>
      <w:r w:rsidR="00761628">
        <w:rPr>
          <w:sz w:val="24"/>
        </w:rPr>
        <w:t xml:space="preserve">le distribution of grant funds. Each </w:t>
      </w:r>
      <w:r w:rsidR="003B0CEE">
        <w:rPr>
          <w:sz w:val="24"/>
        </w:rPr>
        <w:t>County</w:t>
      </w:r>
      <w:r w:rsidR="00761628">
        <w:rPr>
          <w:sz w:val="24"/>
        </w:rPr>
        <w:t xml:space="preserve"> has been allocated at minimum $2</w:t>
      </w:r>
      <w:r w:rsidR="008F4AE1">
        <w:rPr>
          <w:sz w:val="24"/>
        </w:rPr>
        <w:t>5</w:t>
      </w:r>
      <w:r w:rsidR="00761628">
        <w:rPr>
          <w:sz w:val="24"/>
        </w:rPr>
        <w:t xml:space="preserve">,000. Grants will be awarded competitively within the applicant pool for each </w:t>
      </w:r>
      <w:r w:rsidR="003B0CEE">
        <w:rPr>
          <w:sz w:val="24"/>
        </w:rPr>
        <w:t>County</w:t>
      </w:r>
      <w:r w:rsidR="00761628">
        <w:rPr>
          <w:sz w:val="24"/>
        </w:rPr>
        <w:t>.</w:t>
      </w:r>
    </w:p>
    <w:p w14:paraId="25C3E63B" w14:textId="123056D8" w:rsidR="00761628" w:rsidRDefault="003B0CEE" w:rsidP="00CB2A0B">
      <w:pPr>
        <w:rPr>
          <w:sz w:val="24"/>
        </w:rPr>
      </w:pPr>
      <w:r>
        <w:rPr>
          <w:sz w:val="24"/>
        </w:rPr>
        <w:t>The chart below shows each County</w:t>
      </w:r>
      <w:r w:rsidR="00761628">
        <w:rPr>
          <w:sz w:val="24"/>
        </w:rPr>
        <w:t>’s</w:t>
      </w:r>
      <w:r>
        <w:rPr>
          <w:sz w:val="24"/>
        </w:rPr>
        <w:t xml:space="preserve"> (or County equivalent’s)</w:t>
      </w:r>
      <w:r w:rsidR="00761628">
        <w:rPr>
          <w:sz w:val="24"/>
        </w:rPr>
        <w:t xml:space="preserve"> allocation of Funds.</w:t>
      </w:r>
    </w:p>
    <w:tbl>
      <w:tblPr>
        <w:tblStyle w:val="GridTable4-Accent51"/>
        <w:tblW w:w="0" w:type="auto"/>
        <w:tblLook w:val="04A0" w:firstRow="1" w:lastRow="0" w:firstColumn="1" w:lastColumn="0" w:noHBand="0" w:noVBand="1"/>
      </w:tblPr>
      <w:tblGrid>
        <w:gridCol w:w="2697"/>
        <w:gridCol w:w="2697"/>
        <w:gridCol w:w="2698"/>
        <w:gridCol w:w="2698"/>
      </w:tblGrid>
      <w:tr w:rsidR="00761628" w14:paraId="4454DA12" w14:textId="77777777" w:rsidTr="00585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67641ED4" w14:textId="4C7C491A" w:rsidR="00761628" w:rsidRPr="00761628" w:rsidRDefault="003B0CEE" w:rsidP="00761628">
            <w:pPr>
              <w:jc w:val="center"/>
              <w:rPr>
                <w:b w:val="0"/>
                <w:sz w:val="24"/>
              </w:rPr>
            </w:pPr>
            <w:r>
              <w:rPr>
                <w:sz w:val="24"/>
              </w:rPr>
              <w:t>County</w:t>
            </w:r>
          </w:p>
        </w:tc>
        <w:tc>
          <w:tcPr>
            <w:tcW w:w="2697" w:type="dxa"/>
          </w:tcPr>
          <w:p w14:paraId="06FF8A1A" w14:textId="77777777" w:rsidR="00761628" w:rsidRPr="00761628" w:rsidRDefault="00761628" w:rsidP="00761628">
            <w:pPr>
              <w:jc w:val="center"/>
              <w:cnfStyle w:val="100000000000" w:firstRow="1" w:lastRow="0" w:firstColumn="0" w:lastColumn="0" w:oddVBand="0" w:evenVBand="0" w:oddHBand="0" w:evenHBand="0" w:firstRowFirstColumn="0" w:firstRowLastColumn="0" w:lastRowFirstColumn="0" w:lastRowLastColumn="0"/>
              <w:rPr>
                <w:b w:val="0"/>
                <w:sz w:val="24"/>
              </w:rPr>
            </w:pPr>
            <w:r w:rsidRPr="00761628">
              <w:rPr>
                <w:sz w:val="24"/>
              </w:rPr>
              <w:t>Allocation</w:t>
            </w:r>
          </w:p>
        </w:tc>
        <w:tc>
          <w:tcPr>
            <w:tcW w:w="2698" w:type="dxa"/>
          </w:tcPr>
          <w:p w14:paraId="1461CE2E" w14:textId="35689A84" w:rsidR="00761628" w:rsidRPr="00761628" w:rsidRDefault="003B0CEE" w:rsidP="00761628">
            <w:pPr>
              <w:jc w:val="center"/>
              <w:cnfStyle w:val="100000000000" w:firstRow="1" w:lastRow="0" w:firstColumn="0" w:lastColumn="0" w:oddVBand="0" w:evenVBand="0" w:oddHBand="0" w:evenHBand="0" w:firstRowFirstColumn="0" w:firstRowLastColumn="0" w:lastRowFirstColumn="0" w:lastRowLastColumn="0"/>
              <w:rPr>
                <w:b w:val="0"/>
                <w:sz w:val="24"/>
              </w:rPr>
            </w:pPr>
            <w:r>
              <w:rPr>
                <w:sz w:val="24"/>
              </w:rPr>
              <w:t>County</w:t>
            </w:r>
          </w:p>
        </w:tc>
        <w:tc>
          <w:tcPr>
            <w:tcW w:w="2698" w:type="dxa"/>
          </w:tcPr>
          <w:p w14:paraId="072F802C" w14:textId="77777777" w:rsidR="00761628" w:rsidRPr="00761628" w:rsidRDefault="00761628" w:rsidP="00761628">
            <w:pPr>
              <w:jc w:val="center"/>
              <w:cnfStyle w:val="100000000000" w:firstRow="1" w:lastRow="0" w:firstColumn="0" w:lastColumn="0" w:oddVBand="0" w:evenVBand="0" w:oddHBand="0" w:evenHBand="0" w:firstRowFirstColumn="0" w:firstRowLastColumn="0" w:lastRowFirstColumn="0" w:lastRowLastColumn="0"/>
              <w:rPr>
                <w:b w:val="0"/>
                <w:sz w:val="24"/>
              </w:rPr>
            </w:pPr>
            <w:r w:rsidRPr="00761628">
              <w:rPr>
                <w:sz w:val="24"/>
              </w:rPr>
              <w:t>Allocation</w:t>
            </w:r>
          </w:p>
        </w:tc>
      </w:tr>
      <w:tr w:rsidR="008F4AE1" w14:paraId="4B5FF001" w14:textId="77777777" w:rsidTr="0058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063EC653" w14:textId="77777777" w:rsidR="008F4AE1" w:rsidRDefault="008F4AE1" w:rsidP="008F4AE1">
            <w:pPr>
              <w:rPr>
                <w:sz w:val="24"/>
              </w:rPr>
            </w:pPr>
            <w:r>
              <w:rPr>
                <w:sz w:val="24"/>
              </w:rPr>
              <w:t>Allegany</w:t>
            </w:r>
          </w:p>
        </w:tc>
        <w:tc>
          <w:tcPr>
            <w:tcW w:w="2697" w:type="dxa"/>
          </w:tcPr>
          <w:p w14:paraId="314B1334" w14:textId="0E8FC1E5" w:rsidR="008F4AE1" w:rsidRPr="00A90C74" w:rsidRDefault="008F4AE1" w:rsidP="008F4AE1">
            <w:pPr>
              <w:cnfStyle w:val="000000100000" w:firstRow="0" w:lastRow="0" w:firstColumn="0" w:lastColumn="0" w:oddVBand="0" w:evenVBand="0" w:oddHBand="1" w:evenHBand="0" w:firstRowFirstColumn="0" w:firstRowLastColumn="0" w:lastRowFirstColumn="0" w:lastRowLastColumn="0"/>
            </w:pPr>
            <w:r w:rsidRPr="00D933F3">
              <w:t xml:space="preserve">$50,000 </w:t>
            </w:r>
          </w:p>
        </w:tc>
        <w:tc>
          <w:tcPr>
            <w:tcW w:w="2698" w:type="dxa"/>
          </w:tcPr>
          <w:p w14:paraId="282C7C72" w14:textId="77777777" w:rsidR="008F4AE1" w:rsidRPr="005858F5" w:rsidRDefault="008F4AE1" w:rsidP="008F4AE1">
            <w:pPr>
              <w:cnfStyle w:val="000000100000" w:firstRow="0" w:lastRow="0" w:firstColumn="0" w:lastColumn="0" w:oddVBand="0" w:evenVBand="0" w:oddHBand="1" w:evenHBand="0" w:firstRowFirstColumn="0" w:firstRowLastColumn="0" w:lastRowFirstColumn="0" w:lastRowLastColumn="0"/>
              <w:rPr>
                <w:b/>
                <w:sz w:val="24"/>
              </w:rPr>
            </w:pPr>
            <w:r w:rsidRPr="005858F5">
              <w:rPr>
                <w:b/>
                <w:sz w:val="24"/>
              </w:rPr>
              <w:t>Harford</w:t>
            </w:r>
          </w:p>
        </w:tc>
        <w:tc>
          <w:tcPr>
            <w:tcW w:w="2698" w:type="dxa"/>
          </w:tcPr>
          <w:p w14:paraId="4DAEF0FD" w14:textId="2366C9F8" w:rsidR="008F4AE1" w:rsidRPr="002C0B44" w:rsidRDefault="008F4AE1" w:rsidP="008F4AE1">
            <w:pPr>
              <w:cnfStyle w:val="000000100000" w:firstRow="0" w:lastRow="0" w:firstColumn="0" w:lastColumn="0" w:oddVBand="0" w:evenVBand="0" w:oddHBand="1" w:evenHBand="0" w:firstRowFirstColumn="0" w:firstRowLastColumn="0" w:lastRowFirstColumn="0" w:lastRowLastColumn="0"/>
            </w:pPr>
            <w:r w:rsidRPr="003C2169">
              <w:t xml:space="preserve">$80,000 </w:t>
            </w:r>
          </w:p>
        </w:tc>
      </w:tr>
      <w:tr w:rsidR="008F4AE1" w14:paraId="64BE4C2C" w14:textId="77777777" w:rsidTr="005858F5">
        <w:tc>
          <w:tcPr>
            <w:cnfStyle w:val="001000000000" w:firstRow="0" w:lastRow="0" w:firstColumn="1" w:lastColumn="0" w:oddVBand="0" w:evenVBand="0" w:oddHBand="0" w:evenHBand="0" w:firstRowFirstColumn="0" w:firstRowLastColumn="0" w:lastRowFirstColumn="0" w:lastRowLastColumn="0"/>
            <w:tcW w:w="2697" w:type="dxa"/>
          </w:tcPr>
          <w:p w14:paraId="3A8724E4" w14:textId="77777777" w:rsidR="008F4AE1" w:rsidRDefault="008F4AE1" w:rsidP="008F4AE1">
            <w:pPr>
              <w:rPr>
                <w:sz w:val="24"/>
              </w:rPr>
            </w:pPr>
            <w:r>
              <w:rPr>
                <w:sz w:val="24"/>
              </w:rPr>
              <w:t>Anne Arundel</w:t>
            </w:r>
          </w:p>
        </w:tc>
        <w:tc>
          <w:tcPr>
            <w:tcW w:w="2697" w:type="dxa"/>
          </w:tcPr>
          <w:p w14:paraId="6D9F0017" w14:textId="036B231A" w:rsidR="008F4AE1" w:rsidRPr="00A90C74" w:rsidRDefault="008F4AE1" w:rsidP="008F4AE1">
            <w:pPr>
              <w:cnfStyle w:val="000000000000" w:firstRow="0" w:lastRow="0" w:firstColumn="0" w:lastColumn="0" w:oddVBand="0" w:evenVBand="0" w:oddHBand="0" w:evenHBand="0" w:firstRowFirstColumn="0" w:firstRowLastColumn="0" w:lastRowFirstColumn="0" w:lastRowLastColumn="0"/>
            </w:pPr>
            <w:r w:rsidRPr="00D933F3">
              <w:t xml:space="preserve">$150,000 </w:t>
            </w:r>
          </w:p>
        </w:tc>
        <w:tc>
          <w:tcPr>
            <w:tcW w:w="2698" w:type="dxa"/>
          </w:tcPr>
          <w:p w14:paraId="07D35437" w14:textId="77777777" w:rsidR="008F4AE1" w:rsidRPr="005858F5" w:rsidRDefault="008F4AE1" w:rsidP="008F4AE1">
            <w:pPr>
              <w:cnfStyle w:val="000000000000" w:firstRow="0" w:lastRow="0" w:firstColumn="0" w:lastColumn="0" w:oddVBand="0" w:evenVBand="0" w:oddHBand="0" w:evenHBand="0" w:firstRowFirstColumn="0" w:firstRowLastColumn="0" w:lastRowFirstColumn="0" w:lastRowLastColumn="0"/>
              <w:rPr>
                <w:b/>
                <w:sz w:val="24"/>
              </w:rPr>
            </w:pPr>
            <w:r w:rsidRPr="005858F5">
              <w:rPr>
                <w:b/>
                <w:sz w:val="24"/>
              </w:rPr>
              <w:t>Howard</w:t>
            </w:r>
          </w:p>
        </w:tc>
        <w:tc>
          <w:tcPr>
            <w:tcW w:w="2698" w:type="dxa"/>
          </w:tcPr>
          <w:p w14:paraId="51527E26" w14:textId="0B122B17" w:rsidR="008F4AE1" w:rsidRPr="002C0B44" w:rsidRDefault="008F4AE1" w:rsidP="008F4AE1">
            <w:pPr>
              <w:cnfStyle w:val="000000000000" w:firstRow="0" w:lastRow="0" w:firstColumn="0" w:lastColumn="0" w:oddVBand="0" w:evenVBand="0" w:oddHBand="0" w:evenHBand="0" w:firstRowFirstColumn="0" w:firstRowLastColumn="0" w:lastRowFirstColumn="0" w:lastRowLastColumn="0"/>
            </w:pPr>
            <w:r w:rsidRPr="003C2169">
              <w:t xml:space="preserve">$65,000 </w:t>
            </w:r>
          </w:p>
        </w:tc>
      </w:tr>
      <w:tr w:rsidR="008F4AE1" w14:paraId="237FA297" w14:textId="77777777" w:rsidTr="0058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737D220D" w14:textId="77777777" w:rsidR="008F4AE1" w:rsidRDefault="008F4AE1" w:rsidP="008F4AE1">
            <w:pPr>
              <w:rPr>
                <w:sz w:val="24"/>
              </w:rPr>
            </w:pPr>
            <w:r>
              <w:rPr>
                <w:sz w:val="24"/>
              </w:rPr>
              <w:t>Baltimore City</w:t>
            </w:r>
          </w:p>
        </w:tc>
        <w:tc>
          <w:tcPr>
            <w:tcW w:w="2697" w:type="dxa"/>
          </w:tcPr>
          <w:p w14:paraId="22904669" w14:textId="4AE54C1B" w:rsidR="008F4AE1" w:rsidRPr="00A90C74" w:rsidRDefault="008F4AE1" w:rsidP="008F4AE1">
            <w:pPr>
              <w:cnfStyle w:val="000000100000" w:firstRow="0" w:lastRow="0" w:firstColumn="0" w:lastColumn="0" w:oddVBand="0" w:evenVBand="0" w:oddHBand="1" w:evenHBand="0" w:firstRowFirstColumn="0" w:firstRowLastColumn="0" w:lastRowFirstColumn="0" w:lastRowLastColumn="0"/>
            </w:pPr>
            <w:r w:rsidRPr="00D933F3">
              <w:t xml:space="preserve">$470,000 </w:t>
            </w:r>
          </w:p>
        </w:tc>
        <w:tc>
          <w:tcPr>
            <w:tcW w:w="2698" w:type="dxa"/>
          </w:tcPr>
          <w:p w14:paraId="13E9DD06" w14:textId="77777777" w:rsidR="008F4AE1" w:rsidRPr="005858F5" w:rsidRDefault="008F4AE1" w:rsidP="008F4AE1">
            <w:pPr>
              <w:cnfStyle w:val="000000100000" w:firstRow="0" w:lastRow="0" w:firstColumn="0" w:lastColumn="0" w:oddVBand="0" w:evenVBand="0" w:oddHBand="1" w:evenHBand="0" w:firstRowFirstColumn="0" w:firstRowLastColumn="0" w:lastRowFirstColumn="0" w:lastRowLastColumn="0"/>
              <w:rPr>
                <w:b/>
                <w:sz w:val="24"/>
              </w:rPr>
            </w:pPr>
            <w:r w:rsidRPr="005858F5">
              <w:rPr>
                <w:b/>
                <w:sz w:val="24"/>
              </w:rPr>
              <w:t>Kent</w:t>
            </w:r>
          </w:p>
        </w:tc>
        <w:tc>
          <w:tcPr>
            <w:tcW w:w="2698" w:type="dxa"/>
          </w:tcPr>
          <w:p w14:paraId="0DD0EF79" w14:textId="05E12D2D" w:rsidR="008F4AE1" w:rsidRPr="002C0B44" w:rsidRDefault="008F4AE1" w:rsidP="008F4AE1">
            <w:pPr>
              <w:cnfStyle w:val="000000100000" w:firstRow="0" w:lastRow="0" w:firstColumn="0" w:lastColumn="0" w:oddVBand="0" w:evenVBand="0" w:oddHBand="1" w:evenHBand="0" w:firstRowFirstColumn="0" w:firstRowLastColumn="0" w:lastRowFirstColumn="0" w:lastRowLastColumn="0"/>
            </w:pPr>
            <w:r w:rsidRPr="003C2169">
              <w:t xml:space="preserve">$25,000 </w:t>
            </w:r>
          </w:p>
        </w:tc>
      </w:tr>
      <w:tr w:rsidR="008F4AE1" w14:paraId="03CC6EF5" w14:textId="77777777" w:rsidTr="005858F5">
        <w:tc>
          <w:tcPr>
            <w:cnfStyle w:val="001000000000" w:firstRow="0" w:lastRow="0" w:firstColumn="1" w:lastColumn="0" w:oddVBand="0" w:evenVBand="0" w:oddHBand="0" w:evenHBand="0" w:firstRowFirstColumn="0" w:firstRowLastColumn="0" w:lastRowFirstColumn="0" w:lastRowLastColumn="0"/>
            <w:tcW w:w="2697" w:type="dxa"/>
          </w:tcPr>
          <w:p w14:paraId="728D4615" w14:textId="5CBEA46B" w:rsidR="008F4AE1" w:rsidRDefault="008F4AE1" w:rsidP="008F4AE1">
            <w:pPr>
              <w:rPr>
                <w:sz w:val="24"/>
              </w:rPr>
            </w:pPr>
            <w:r>
              <w:rPr>
                <w:sz w:val="24"/>
              </w:rPr>
              <w:t xml:space="preserve">Baltimore </w:t>
            </w:r>
            <w:r w:rsidR="003B0CEE">
              <w:rPr>
                <w:sz w:val="24"/>
              </w:rPr>
              <w:t>County</w:t>
            </w:r>
          </w:p>
        </w:tc>
        <w:tc>
          <w:tcPr>
            <w:tcW w:w="2697" w:type="dxa"/>
          </w:tcPr>
          <w:p w14:paraId="30C67B8E" w14:textId="3DADAC01" w:rsidR="008F4AE1" w:rsidRPr="00A90C74" w:rsidRDefault="008F4AE1" w:rsidP="008F4AE1">
            <w:pPr>
              <w:cnfStyle w:val="000000000000" w:firstRow="0" w:lastRow="0" w:firstColumn="0" w:lastColumn="0" w:oddVBand="0" w:evenVBand="0" w:oddHBand="0" w:evenHBand="0" w:firstRowFirstColumn="0" w:firstRowLastColumn="0" w:lastRowFirstColumn="0" w:lastRowLastColumn="0"/>
            </w:pPr>
            <w:r w:rsidRPr="00D933F3">
              <w:t xml:space="preserve">$320,000 </w:t>
            </w:r>
          </w:p>
        </w:tc>
        <w:tc>
          <w:tcPr>
            <w:tcW w:w="2698" w:type="dxa"/>
          </w:tcPr>
          <w:p w14:paraId="497ECE07" w14:textId="77777777" w:rsidR="008F4AE1" w:rsidRPr="005858F5" w:rsidRDefault="008F4AE1" w:rsidP="008F4AE1">
            <w:pPr>
              <w:cnfStyle w:val="000000000000" w:firstRow="0" w:lastRow="0" w:firstColumn="0" w:lastColumn="0" w:oddVBand="0" w:evenVBand="0" w:oddHBand="0" w:evenHBand="0" w:firstRowFirstColumn="0" w:firstRowLastColumn="0" w:lastRowFirstColumn="0" w:lastRowLastColumn="0"/>
              <w:rPr>
                <w:b/>
                <w:sz w:val="24"/>
              </w:rPr>
            </w:pPr>
            <w:r w:rsidRPr="005858F5">
              <w:rPr>
                <w:b/>
                <w:sz w:val="24"/>
              </w:rPr>
              <w:t>Montgomery</w:t>
            </w:r>
          </w:p>
        </w:tc>
        <w:tc>
          <w:tcPr>
            <w:tcW w:w="2698" w:type="dxa"/>
          </w:tcPr>
          <w:p w14:paraId="20B2BB69" w14:textId="41AEE1D8" w:rsidR="008F4AE1" w:rsidRPr="002C0B44" w:rsidRDefault="008F4AE1" w:rsidP="008F4AE1">
            <w:pPr>
              <w:cnfStyle w:val="000000000000" w:firstRow="0" w:lastRow="0" w:firstColumn="0" w:lastColumn="0" w:oddVBand="0" w:evenVBand="0" w:oddHBand="0" w:evenHBand="0" w:firstRowFirstColumn="0" w:firstRowLastColumn="0" w:lastRowFirstColumn="0" w:lastRowLastColumn="0"/>
            </w:pPr>
            <w:r w:rsidRPr="003C2169">
              <w:t xml:space="preserve">$320,000 </w:t>
            </w:r>
          </w:p>
        </w:tc>
      </w:tr>
      <w:tr w:rsidR="008F4AE1" w14:paraId="4D334BCF" w14:textId="77777777" w:rsidTr="0058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54C96F3D" w14:textId="77777777" w:rsidR="008F4AE1" w:rsidRDefault="008F4AE1" w:rsidP="008F4AE1">
            <w:pPr>
              <w:rPr>
                <w:sz w:val="24"/>
              </w:rPr>
            </w:pPr>
            <w:r>
              <w:rPr>
                <w:sz w:val="24"/>
              </w:rPr>
              <w:t>Calvert</w:t>
            </w:r>
          </w:p>
        </w:tc>
        <w:tc>
          <w:tcPr>
            <w:tcW w:w="2697" w:type="dxa"/>
          </w:tcPr>
          <w:p w14:paraId="4EBD66E1" w14:textId="535FA881" w:rsidR="008F4AE1" w:rsidRPr="00A90C74" w:rsidRDefault="008F4AE1" w:rsidP="008F4AE1">
            <w:pPr>
              <w:cnfStyle w:val="000000100000" w:firstRow="0" w:lastRow="0" w:firstColumn="0" w:lastColumn="0" w:oddVBand="0" w:evenVBand="0" w:oddHBand="1" w:evenHBand="0" w:firstRowFirstColumn="0" w:firstRowLastColumn="0" w:lastRowFirstColumn="0" w:lastRowLastColumn="0"/>
            </w:pPr>
            <w:r w:rsidRPr="00D933F3">
              <w:t xml:space="preserve">$25,000 </w:t>
            </w:r>
          </w:p>
        </w:tc>
        <w:tc>
          <w:tcPr>
            <w:tcW w:w="2698" w:type="dxa"/>
          </w:tcPr>
          <w:p w14:paraId="532098E8" w14:textId="77777777" w:rsidR="008F4AE1" w:rsidRPr="005858F5" w:rsidRDefault="008F4AE1" w:rsidP="008F4AE1">
            <w:pPr>
              <w:cnfStyle w:val="000000100000" w:firstRow="0" w:lastRow="0" w:firstColumn="0" w:lastColumn="0" w:oddVBand="0" w:evenVBand="0" w:oddHBand="1" w:evenHBand="0" w:firstRowFirstColumn="0" w:firstRowLastColumn="0" w:lastRowFirstColumn="0" w:lastRowLastColumn="0"/>
              <w:rPr>
                <w:b/>
                <w:sz w:val="24"/>
              </w:rPr>
            </w:pPr>
            <w:r w:rsidRPr="005858F5">
              <w:rPr>
                <w:b/>
                <w:sz w:val="24"/>
              </w:rPr>
              <w:t>Prince George’s</w:t>
            </w:r>
          </w:p>
        </w:tc>
        <w:tc>
          <w:tcPr>
            <w:tcW w:w="2698" w:type="dxa"/>
          </w:tcPr>
          <w:p w14:paraId="2496EDF3" w14:textId="3D8F7164" w:rsidR="008F4AE1" w:rsidRPr="002C0B44" w:rsidRDefault="008F4AE1" w:rsidP="008F4AE1">
            <w:pPr>
              <w:cnfStyle w:val="000000100000" w:firstRow="0" w:lastRow="0" w:firstColumn="0" w:lastColumn="0" w:oddVBand="0" w:evenVBand="0" w:oddHBand="1" w:evenHBand="0" w:firstRowFirstColumn="0" w:firstRowLastColumn="0" w:lastRowFirstColumn="0" w:lastRowLastColumn="0"/>
            </w:pPr>
            <w:r w:rsidRPr="003C2169">
              <w:t xml:space="preserve">$380,000 </w:t>
            </w:r>
          </w:p>
        </w:tc>
      </w:tr>
      <w:tr w:rsidR="008F4AE1" w14:paraId="226BB243" w14:textId="77777777" w:rsidTr="005858F5">
        <w:tc>
          <w:tcPr>
            <w:cnfStyle w:val="001000000000" w:firstRow="0" w:lastRow="0" w:firstColumn="1" w:lastColumn="0" w:oddVBand="0" w:evenVBand="0" w:oddHBand="0" w:evenHBand="0" w:firstRowFirstColumn="0" w:firstRowLastColumn="0" w:lastRowFirstColumn="0" w:lastRowLastColumn="0"/>
            <w:tcW w:w="2697" w:type="dxa"/>
          </w:tcPr>
          <w:p w14:paraId="43F01772" w14:textId="77777777" w:rsidR="008F4AE1" w:rsidRDefault="008F4AE1" w:rsidP="008F4AE1">
            <w:pPr>
              <w:rPr>
                <w:sz w:val="24"/>
              </w:rPr>
            </w:pPr>
            <w:r>
              <w:rPr>
                <w:sz w:val="24"/>
              </w:rPr>
              <w:t>Caroline</w:t>
            </w:r>
          </w:p>
        </w:tc>
        <w:tc>
          <w:tcPr>
            <w:tcW w:w="2697" w:type="dxa"/>
          </w:tcPr>
          <w:p w14:paraId="6CC042AF" w14:textId="2CCEE689" w:rsidR="008F4AE1" w:rsidRPr="00A90C74" w:rsidRDefault="008F4AE1" w:rsidP="008F4AE1">
            <w:pPr>
              <w:cnfStyle w:val="000000000000" w:firstRow="0" w:lastRow="0" w:firstColumn="0" w:lastColumn="0" w:oddVBand="0" w:evenVBand="0" w:oddHBand="0" w:evenHBand="0" w:firstRowFirstColumn="0" w:firstRowLastColumn="0" w:lastRowFirstColumn="0" w:lastRowLastColumn="0"/>
            </w:pPr>
            <w:r w:rsidRPr="00D933F3">
              <w:t xml:space="preserve">$25,000 </w:t>
            </w:r>
          </w:p>
        </w:tc>
        <w:tc>
          <w:tcPr>
            <w:tcW w:w="2698" w:type="dxa"/>
          </w:tcPr>
          <w:p w14:paraId="26CB1E59" w14:textId="77777777" w:rsidR="008F4AE1" w:rsidRPr="005858F5" w:rsidRDefault="008F4AE1" w:rsidP="008F4AE1">
            <w:pPr>
              <w:cnfStyle w:val="000000000000" w:firstRow="0" w:lastRow="0" w:firstColumn="0" w:lastColumn="0" w:oddVBand="0" w:evenVBand="0" w:oddHBand="0" w:evenHBand="0" w:firstRowFirstColumn="0" w:firstRowLastColumn="0" w:lastRowFirstColumn="0" w:lastRowLastColumn="0"/>
              <w:rPr>
                <w:b/>
                <w:sz w:val="24"/>
              </w:rPr>
            </w:pPr>
            <w:r w:rsidRPr="005858F5">
              <w:rPr>
                <w:b/>
                <w:sz w:val="24"/>
              </w:rPr>
              <w:t>Queen Anne’s</w:t>
            </w:r>
          </w:p>
        </w:tc>
        <w:tc>
          <w:tcPr>
            <w:tcW w:w="2698" w:type="dxa"/>
          </w:tcPr>
          <w:p w14:paraId="59581007" w14:textId="1EFB5193" w:rsidR="008F4AE1" w:rsidRPr="002C0B44" w:rsidRDefault="008F4AE1" w:rsidP="008F4AE1">
            <w:pPr>
              <w:cnfStyle w:val="000000000000" w:firstRow="0" w:lastRow="0" w:firstColumn="0" w:lastColumn="0" w:oddVBand="0" w:evenVBand="0" w:oddHBand="0" w:evenHBand="0" w:firstRowFirstColumn="0" w:firstRowLastColumn="0" w:lastRowFirstColumn="0" w:lastRowLastColumn="0"/>
            </w:pPr>
            <w:r w:rsidRPr="003C2169">
              <w:t xml:space="preserve">$25,000 </w:t>
            </w:r>
          </w:p>
        </w:tc>
      </w:tr>
      <w:tr w:rsidR="008F4AE1" w14:paraId="1FA765E1" w14:textId="77777777" w:rsidTr="0058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18A28664" w14:textId="77777777" w:rsidR="008F4AE1" w:rsidRDefault="008F4AE1" w:rsidP="008F4AE1">
            <w:pPr>
              <w:rPr>
                <w:sz w:val="24"/>
              </w:rPr>
            </w:pPr>
            <w:r>
              <w:rPr>
                <w:sz w:val="24"/>
              </w:rPr>
              <w:t>Carroll</w:t>
            </w:r>
          </w:p>
        </w:tc>
        <w:tc>
          <w:tcPr>
            <w:tcW w:w="2697" w:type="dxa"/>
          </w:tcPr>
          <w:p w14:paraId="2E0A59D6" w14:textId="6EEE9340" w:rsidR="008F4AE1" w:rsidRPr="00A90C74" w:rsidRDefault="008F4AE1" w:rsidP="008F4AE1">
            <w:pPr>
              <w:cnfStyle w:val="000000100000" w:firstRow="0" w:lastRow="0" w:firstColumn="0" w:lastColumn="0" w:oddVBand="0" w:evenVBand="0" w:oddHBand="1" w:evenHBand="0" w:firstRowFirstColumn="0" w:firstRowLastColumn="0" w:lastRowFirstColumn="0" w:lastRowLastColumn="0"/>
            </w:pPr>
            <w:r w:rsidRPr="00D933F3">
              <w:t xml:space="preserve">$45,000 </w:t>
            </w:r>
          </w:p>
        </w:tc>
        <w:tc>
          <w:tcPr>
            <w:tcW w:w="2698" w:type="dxa"/>
          </w:tcPr>
          <w:p w14:paraId="5E25205C" w14:textId="77777777" w:rsidR="008F4AE1" w:rsidRPr="005858F5" w:rsidRDefault="008F4AE1" w:rsidP="008F4AE1">
            <w:pPr>
              <w:cnfStyle w:val="000000100000" w:firstRow="0" w:lastRow="0" w:firstColumn="0" w:lastColumn="0" w:oddVBand="0" w:evenVBand="0" w:oddHBand="1" w:evenHBand="0" w:firstRowFirstColumn="0" w:firstRowLastColumn="0" w:lastRowFirstColumn="0" w:lastRowLastColumn="0"/>
              <w:rPr>
                <w:b/>
                <w:sz w:val="24"/>
              </w:rPr>
            </w:pPr>
            <w:r w:rsidRPr="005858F5">
              <w:rPr>
                <w:b/>
                <w:sz w:val="24"/>
              </w:rPr>
              <w:t>St. Mary’s</w:t>
            </w:r>
          </w:p>
        </w:tc>
        <w:tc>
          <w:tcPr>
            <w:tcW w:w="2698" w:type="dxa"/>
          </w:tcPr>
          <w:p w14:paraId="51575D69" w14:textId="6D64DEF1" w:rsidR="008F4AE1" w:rsidRPr="002C0B44" w:rsidRDefault="008F4AE1" w:rsidP="008F4AE1">
            <w:pPr>
              <w:cnfStyle w:val="000000100000" w:firstRow="0" w:lastRow="0" w:firstColumn="0" w:lastColumn="0" w:oddVBand="0" w:evenVBand="0" w:oddHBand="1" w:evenHBand="0" w:firstRowFirstColumn="0" w:firstRowLastColumn="0" w:lastRowFirstColumn="0" w:lastRowLastColumn="0"/>
            </w:pPr>
            <w:r w:rsidRPr="003C2169">
              <w:t xml:space="preserve">$45,000 </w:t>
            </w:r>
          </w:p>
        </w:tc>
      </w:tr>
      <w:tr w:rsidR="008F4AE1" w14:paraId="135E6996" w14:textId="77777777" w:rsidTr="005858F5">
        <w:tc>
          <w:tcPr>
            <w:cnfStyle w:val="001000000000" w:firstRow="0" w:lastRow="0" w:firstColumn="1" w:lastColumn="0" w:oddVBand="0" w:evenVBand="0" w:oddHBand="0" w:evenHBand="0" w:firstRowFirstColumn="0" w:firstRowLastColumn="0" w:lastRowFirstColumn="0" w:lastRowLastColumn="0"/>
            <w:tcW w:w="2697" w:type="dxa"/>
          </w:tcPr>
          <w:p w14:paraId="73FC2F51" w14:textId="77777777" w:rsidR="008F4AE1" w:rsidRDefault="008F4AE1" w:rsidP="008F4AE1">
            <w:pPr>
              <w:rPr>
                <w:sz w:val="24"/>
              </w:rPr>
            </w:pPr>
            <w:r>
              <w:rPr>
                <w:sz w:val="24"/>
              </w:rPr>
              <w:t>Cecil</w:t>
            </w:r>
          </w:p>
        </w:tc>
        <w:tc>
          <w:tcPr>
            <w:tcW w:w="2697" w:type="dxa"/>
          </w:tcPr>
          <w:p w14:paraId="2CB03AAD" w14:textId="364A91D1" w:rsidR="008F4AE1" w:rsidRPr="00A90C74" w:rsidRDefault="008F4AE1" w:rsidP="008F4AE1">
            <w:pPr>
              <w:cnfStyle w:val="000000000000" w:firstRow="0" w:lastRow="0" w:firstColumn="0" w:lastColumn="0" w:oddVBand="0" w:evenVBand="0" w:oddHBand="0" w:evenHBand="0" w:firstRowFirstColumn="0" w:firstRowLastColumn="0" w:lastRowFirstColumn="0" w:lastRowLastColumn="0"/>
            </w:pPr>
            <w:r w:rsidRPr="00D933F3">
              <w:t xml:space="preserve">$55,000 </w:t>
            </w:r>
          </w:p>
        </w:tc>
        <w:tc>
          <w:tcPr>
            <w:tcW w:w="2698" w:type="dxa"/>
          </w:tcPr>
          <w:p w14:paraId="7FC7C93F" w14:textId="77777777" w:rsidR="008F4AE1" w:rsidRPr="005858F5" w:rsidRDefault="008F4AE1" w:rsidP="008F4AE1">
            <w:pPr>
              <w:cnfStyle w:val="000000000000" w:firstRow="0" w:lastRow="0" w:firstColumn="0" w:lastColumn="0" w:oddVBand="0" w:evenVBand="0" w:oddHBand="0" w:evenHBand="0" w:firstRowFirstColumn="0" w:firstRowLastColumn="0" w:lastRowFirstColumn="0" w:lastRowLastColumn="0"/>
              <w:rPr>
                <w:b/>
                <w:sz w:val="24"/>
              </w:rPr>
            </w:pPr>
            <w:r w:rsidRPr="005858F5">
              <w:rPr>
                <w:b/>
                <w:sz w:val="24"/>
              </w:rPr>
              <w:t>Somerset</w:t>
            </w:r>
          </w:p>
        </w:tc>
        <w:tc>
          <w:tcPr>
            <w:tcW w:w="2698" w:type="dxa"/>
          </w:tcPr>
          <w:p w14:paraId="2E808440" w14:textId="3F8DCCBB" w:rsidR="008F4AE1" w:rsidRPr="002C0B44" w:rsidRDefault="008F4AE1" w:rsidP="008F4AE1">
            <w:pPr>
              <w:cnfStyle w:val="000000000000" w:firstRow="0" w:lastRow="0" w:firstColumn="0" w:lastColumn="0" w:oddVBand="0" w:evenVBand="0" w:oddHBand="0" w:evenHBand="0" w:firstRowFirstColumn="0" w:firstRowLastColumn="0" w:lastRowFirstColumn="0" w:lastRowLastColumn="0"/>
            </w:pPr>
            <w:r w:rsidRPr="003C2169">
              <w:t xml:space="preserve">$25,000 </w:t>
            </w:r>
          </w:p>
        </w:tc>
      </w:tr>
      <w:tr w:rsidR="008F4AE1" w14:paraId="22961DB0" w14:textId="77777777" w:rsidTr="0058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28056D45" w14:textId="77777777" w:rsidR="008F4AE1" w:rsidRDefault="008F4AE1" w:rsidP="008F4AE1">
            <w:pPr>
              <w:rPr>
                <w:sz w:val="24"/>
              </w:rPr>
            </w:pPr>
            <w:r>
              <w:rPr>
                <w:sz w:val="24"/>
              </w:rPr>
              <w:t>Charles</w:t>
            </w:r>
          </w:p>
        </w:tc>
        <w:tc>
          <w:tcPr>
            <w:tcW w:w="2697" w:type="dxa"/>
          </w:tcPr>
          <w:p w14:paraId="733DB85F" w14:textId="62CC646B" w:rsidR="008F4AE1" w:rsidRPr="00A90C74" w:rsidRDefault="008F4AE1" w:rsidP="008F4AE1">
            <w:pPr>
              <w:cnfStyle w:val="000000100000" w:firstRow="0" w:lastRow="0" w:firstColumn="0" w:lastColumn="0" w:oddVBand="0" w:evenVBand="0" w:oddHBand="1" w:evenHBand="0" w:firstRowFirstColumn="0" w:firstRowLastColumn="0" w:lastRowFirstColumn="0" w:lastRowLastColumn="0"/>
            </w:pPr>
            <w:r w:rsidRPr="00D933F3">
              <w:t xml:space="preserve">$50,000 </w:t>
            </w:r>
          </w:p>
        </w:tc>
        <w:tc>
          <w:tcPr>
            <w:tcW w:w="2698" w:type="dxa"/>
          </w:tcPr>
          <w:p w14:paraId="21D6F938" w14:textId="77777777" w:rsidR="008F4AE1" w:rsidRPr="005858F5" w:rsidRDefault="008F4AE1" w:rsidP="008F4AE1">
            <w:pPr>
              <w:cnfStyle w:val="000000100000" w:firstRow="0" w:lastRow="0" w:firstColumn="0" w:lastColumn="0" w:oddVBand="0" w:evenVBand="0" w:oddHBand="1" w:evenHBand="0" w:firstRowFirstColumn="0" w:firstRowLastColumn="0" w:lastRowFirstColumn="0" w:lastRowLastColumn="0"/>
              <w:rPr>
                <w:b/>
                <w:sz w:val="24"/>
              </w:rPr>
            </w:pPr>
            <w:r w:rsidRPr="005858F5">
              <w:rPr>
                <w:b/>
                <w:sz w:val="24"/>
              </w:rPr>
              <w:t>Talbot</w:t>
            </w:r>
          </w:p>
        </w:tc>
        <w:tc>
          <w:tcPr>
            <w:tcW w:w="2698" w:type="dxa"/>
          </w:tcPr>
          <w:p w14:paraId="4F23919D" w14:textId="519EE8AA" w:rsidR="008F4AE1" w:rsidRPr="002C0B44" w:rsidRDefault="008F4AE1" w:rsidP="008F4AE1">
            <w:pPr>
              <w:cnfStyle w:val="000000100000" w:firstRow="0" w:lastRow="0" w:firstColumn="0" w:lastColumn="0" w:oddVBand="0" w:evenVBand="0" w:oddHBand="1" w:evenHBand="0" w:firstRowFirstColumn="0" w:firstRowLastColumn="0" w:lastRowFirstColumn="0" w:lastRowLastColumn="0"/>
            </w:pPr>
            <w:r w:rsidRPr="003C2169">
              <w:t xml:space="preserve">$25,000 </w:t>
            </w:r>
          </w:p>
        </w:tc>
      </w:tr>
      <w:tr w:rsidR="008F4AE1" w14:paraId="0F0072A4" w14:textId="77777777" w:rsidTr="005858F5">
        <w:tc>
          <w:tcPr>
            <w:cnfStyle w:val="001000000000" w:firstRow="0" w:lastRow="0" w:firstColumn="1" w:lastColumn="0" w:oddVBand="0" w:evenVBand="0" w:oddHBand="0" w:evenHBand="0" w:firstRowFirstColumn="0" w:firstRowLastColumn="0" w:lastRowFirstColumn="0" w:lastRowLastColumn="0"/>
            <w:tcW w:w="2697" w:type="dxa"/>
          </w:tcPr>
          <w:p w14:paraId="73FDA0C2" w14:textId="77777777" w:rsidR="008F4AE1" w:rsidRDefault="008F4AE1" w:rsidP="008F4AE1">
            <w:pPr>
              <w:rPr>
                <w:sz w:val="24"/>
              </w:rPr>
            </w:pPr>
            <w:r>
              <w:rPr>
                <w:sz w:val="24"/>
              </w:rPr>
              <w:t>Dorchester</w:t>
            </w:r>
          </w:p>
        </w:tc>
        <w:tc>
          <w:tcPr>
            <w:tcW w:w="2697" w:type="dxa"/>
          </w:tcPr>
          <w:p w14:paraId="640D18AD" w14:textId="577FDC3D" w:rsidR="008F4AE1" w:rsidRPr="00A90C74" w:rsidRDefault="008F4AE1" w:rsidP="008F4AE1">
            <w:pPr>
              <w:cnfStyle w:val="000000000000" w:firstRow="0" w:lastRow="0" w:firstColumn="0" w:lastColumn="0" w:oddVBand="0" w:evenVBand="0" w:oddHBand="0" w:evenHBand="0" w:firstRowFirstColumn="0" w:firstRowLastColumn="0" w:lastRowFirstColumn="0" w:lastRowLastColumn="0"/>
            </w:pPr>
            <w:r w:rsidRPr="00D933F3">
              <w:t xml:space="preserve">$25,000 </w:t>
            </w:r>
          </w:p>
        </w:tc>
        <w:tc>
          <w:tcPr>
            <w:tcW w:w="2698" w:type="dxa"/>
          </w:tcPr>
          <w:p w14:paraId="65789BC2" w14:textId="77777777" w:rsidR="008F4AE1" w:rsidRPr="005858F5" w:rsidRDefault="008F4AE1" w:rsidP="008F4AE1">
            <w:pPr>
              <w:cnfStyle w:val="000000000000" w:firstRow="0" w:lastRow="0" w:firstColumn="0" w:lastColumn="0" w:oddVBand="0" w:evenVBand="0" w:oddHBand="0" w:evenHBand="0" w:firstRowFirstColumn="0" w:firstRowLastColumn="0" w:lastRowFirstColumn="0" w:lastRowLastColumn="0"/>
              <w:rPr>
                <w:b/>
                <w:sz w:val="24"/>
              </w:rPr>
            </w:pPr>
            <w:r w:rsidRPr="005858F5">
              <w:rPr>
                <w:b/>
                <w:sz w:val="24"/>
              </w:rPr>
              <w:t>Washington</w:t>
            </w:r>
          </w:p>
        </w:tc>
        <w:tc>
          <w:tcPr>
            <w:tcW w:w="2698" w:type="dxa"/>
          </w:tcPr>
          <w:p w14:paraId="5EFC456E" w14:textId="2925DA78" w:rsidR="008F4AE1" w:rsidRPr="002C0B44" w:rsidRDefault="008F4AE1" w:rsidP="008F4AE1">
            <w:pPr>
              <w:cnfStyle w:val="000000000000" w:firstRow="0" w:lastRow="0" w:firstColumn="0" w:lastColumn="0" w:oddVBand="0" w:evenVBand="0" w:oddHBand="0" w:evenHBand="0" w:firstRowFirstColumn="0" w:firstRowLastColumn="0" w:lastRowFirstColumn="0" w:lastRowLastColumn="0"/>
            </w:pPr>
            <w:r w:rsidRPr="003C2169">
              <w:t xml:space="preserve">$85,000 </w:t>
            </w:r>
          </w:p>
        </w:tc>
      </w:tr>
      <w:tr w:rsidR="008F4AE1" w14:paraId="27ACF802" w14:textId="77777777" w:rsidTr="0058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7" w:type="dxa"/>
          </w:tcPr>
          <w:p w14:paraId="1F3AC3B7" w14:textId="77777777" w:rsidR="008F4AE1" w:rsidRDefault="008F4AE1" w:rsidP="008F4AE1">
            <w:pPr>
              <w:rPr>
                <w:sz w:val="24"/>
              </w:rPr>
            </w:pPr>
            <w:r>
              <w:rPr>
                <w:sz w:val="24"/>
              </w:rPr>
              <w:t>Frederick</w:t>
            </w:r>
          </w:p>
        </w:tc>
        <w:tc>
          <w:tcPr>
            <w:tcW w:w="2697" w:type="dxa"/>
          </w:tcPr>
          <w:p w14:paraId="2C72F78F" w14:textId="739EE762" w:rsidR="008F4AE1" w:rsidRPr="00A90C74" w:rsidRDefault="008F4AE1" w:rsidP="008F4AE1">
            <w:pPr>
              <w:cnfStyle w:val="000000100000" w:firstRow="0" w:lastRow="0" w:firstColumn="0" w:lastColumn="0" w:oddVBand="0" w:evenVBand="0" w:oddHBand="1" w:evenHBand="0" w:firstRowFirstColumn="0" w:firstRowLastColumn="0" w:lastRowFirstColumn="0" w:lastRowLastColumn="0"/>
            </w:pPr>
            <w:r w:rsidRPr="00D933F3">
              <w:t xml:space="preserve">$85,000 </w:t>
            </w:r>
          </w:p>
        </w:tc>
        <w:tc>
          <w:tcPr>
            <w:tcW w:w="2698" w:type="dxa"/>
          </w:tcPr>
          <w:p w14:paraId="518FE5A4" w14:textId="77777777" w:rsidR="008F4AE1" w:rsidRPr="005858F5" w:rsidRDefault="008F4AE1" w:rsidP="008F4AE1">
            <w:pPr>
              <w:cnfStyle w:val="000000100000" w:firstRow="0" w:lastRow="0" w:firstColumn="0" w:lastColumn="0" w:oddVBand="0" w:evenVBand="0" w:oddHBand="1" w:evenHBand="0" w:firstRowFirstColumn="0" w:firstRowLastColumn="0" w:lastRowFirstColumn="0" w:lastRowLastColumn="0"/>
              <w:rPr>
                <w:b/>
                <w:sz w:val="24"/>
              </w:rPr>
            </w:pPr>
            <w:r w:rsidRPr="005858F5">
              <w:rPr>
                <w:b/>
                <w:sz w:val="24"/>
              </w:rPr>
              <w:t>Wicomico</w:t>
            </w:r>
          </w:p>
        </w:tc>
        <w:tc>
          <w:tcPr>
            <w:tcW w:w="2698" w:type="dxa"/>
          </w:tcPr>
          <w:p w14:paraId="1869A35D" w14:textId="6D06BC9C" w:rsidR="008F4AE1" w:rsidRPr="002C0B44" w:rsidRDefault="008F4AE1" w:rsidP="008F4AE1">
            <w:pPr>
              <w:cnfStyle w:val="000000100000" w:firstRow="0" w:lastRow="0" w:firstColumn="0" w:lastColumn="0" w:oddVBand="0" w:evenVBand="0" w:oddHBand="1" w:evenHBand="0" w:firstRowFirstColumn="0" w:firstRowLastColumn="0" w:lastRowFirstColumn="0" w:lastRowLastColumn="0"/>
            </w:pPr>
            <w:r w:rsidRPr="003C2169">
              <w:t xml:space="preserve">$65,000 </w:t>
            </w:r>
          </w:p>
        </w:tc>
      </w:tr>
      <w:tr w:rsidR="008F4AE1" w14:paraId="2BCAFAE4" w14:textId="77777777" w:rsidTr="005858F5">
        <w:tc>
          <w:tcPr>
            <w:cnfStyle w:val="001000000000" w:firstRow="0" w:lastRow="0" w:firstColumn="1" w:lastColumn="0" w:oddVBand="0" w:evenVBand="0" w:oddHBand="0" w:evenHBand="0" w:firstRowFirstColumn="0" w:firstRowLastColumn="0" w:lastRowFirstColumn="0" w:lastRowLastColumn="0"/>
            <w:tcW w:w="2697" w:type="dxa"/>
          </w:tcPr>
          <w:p w14:paraId="31B33AAC" w14:textId="77777777" w:rsidR="008F4AE1" w:rsidRDefault="008F4AE1" w:rsidP="008F4AE1">
            <w:pPr>
              <w:rPr>
                <w:sz w:val="24"/>
              </w:rPr>
            </w:pPr>
            <w:r>
              <w:rPr>
                <w:sz w:val="24"/>
              </w:rPr>
              <w:t>Garrett</w:t>
            </w:r>
          </w:p>
        </w:tc>
        <w:tc>
          <w:tcPr>
            <w:tcW w:w="2697" w:type="dxa"/>
          </w:tcPr>
          <w:p w14:paraId="43DE9913" w14:textId="004390DE" w:rsidR="008F4AE1" w:rsidRDefault="008F4AE1" w:rsidP="008F4AE1">
            <w:pPr>
              <w:cnfStyle w:val="000000000000" w:firstRow="0" w:lastRow="0" w:firstColumn="0" w:lastColumn="0" w:oddVBand="0" w:evenVBand="0" w:oddHBand="0" w:evenHBand="0" w:firstRowFirstColumn="0" w:firstRowLastColumn="0" w:lastRowFirstColumn="0" w:lastRowLastColumn="0"/>
            </w:pPr>
            <w:r w:rsidRPr="00D933F3">
              <w:t xml:space="preserve">$25,000 </w:t>
            </w:r>
          </w:p>
        </w:tc>
        <w:tc>
          <w:tcPr>
            <w:tcW w:w="2698" w:type="dxa"/>
          </w:tcPr>
          <w:p w14:paraId="4DA33768" w14:textId="77777777" w:rsidR="008F4AE1" w:rsidRPr="005858F5" w:rsidRDefault="008F4AE1" w:rsidP="008F4AE1">
            <w:pPr>
              <w:cnfStyle w:val="000000000000" w:firstRow="0" w:lastRow="0" w:firstColumn="0" w:lastColumn="0" w:oddVBand="0" w:evenVBand="0" w:oddHBand="0" w:evenHBand="0" w:firstRowFirstColumn="0" w:firstRowLastColumn="0" w:lastRowFirstColumn="0" w:lastRowLastColumn="0"/>
              <w:rPr>
                <w:b/>
                <w:sz w:val="24"/>
              </w:rPr>
            </w:pPr>
            <w:r w:rsidRPr="005858F5">
              <w:rPr>
                <w:b/>
                <w:sz w:val="24"/>
              </w:rPr>
              <w:t>Worcester</w:t>
            </w:r>
          </w:p>
        </w:tc>
        <w:tc>
          <w:tcPr>
            <w:tcW w:w="2698" w:type="dxa"/>
          </w:tcPr>
          <w:p w14:paraId="099171E4" w14:textId="325C5A56" w:rsidR="008F4AE1" w:rsidRDefault="008F4AE1" w:rsidP="008F4AE1">
            <w:pPr>
              <w:cnfStyle w:val="000000000000" w:firstRow="0" w:lastRow="0" w:firstColumn="0" w:lastColumn="0" w:oddVBand="0" w:evenVBand="0" w:oddHBand="0" w:evenHBand="0" w:firstRowFirstColumn="0" w:firstRowLastColumn="0" w:lastRowFirstColumn="0" w:lastRowLastColumn="0"/>
            </w:pPr>
            <w:r w:rsidRPr="003C2169">
              <w:t xml:space="preserve">$25,000 </w:t>
            </w:r>
          </w:p>
        </w:tc>
      </w:tr>
      <w:tr w:rsidR="00761628" w14:paraId="3647EC60" w14:textId="77777777" w:rsidTr="0058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Pr>
          <w:p w14:paraId="2507C61C" w14:textId="77777777" w:rsidR="00761628" w:rsidRPr="00761628" w:rsidRDefault="00761628" w:rsidP="00CB2A0B">
            <w:pPr>
              <w:rPr>
                <w:i/>
                <w:sz w:val="20"/>
              </w:rPr>
            </w:pPr>
            <w:r>
              <w:rPr>
                <w:i/>
                <w:sz w:val="20"/>
              </w:rPr>
              <w:t>All listed allocations are subject to funding availability.</w:t>
            </w:r>
          </w:p>
        </w:tc>
      </w:tr>
    </w:tbl>
    <w:p w14:paraId="0043EE4E" w14:textId="77777777" w:rsidR="00761628" w:rsidRDefault="00761628" w:rsidP="00CB2A0B">
      <w:pPr>
        <w:rPr>
          <w:sz w:val="24"/>
        </w:rPr>
      </w:pPr>
    </w:p>
    <w:p w14:paraId="4919C821" w14:textId="22FA3274" w:rsidR="00761628" w:rsidRPr="00761628" w:rsidRDefault="00761628" w:rsidP="00761628">
      <w:pPr>
        <w:rPr>
          <w:bCs/>
          <w:sz w:val="24"/>
        </w:rPr>
      </w:pPr>
      <w:r w:rsidRPr="00761628">
        <w:rPr>
          <w:bCs/>
          <w:sz w:val="24"/>
        </w:rPr>
        <w:lastRenderedPageBreak/>
        <w:t xml:space="preserve">If MEA does not receive sufficient grant applications in a particular </w:t>
      </w:r>
      <w:r w:rsidR="003B0CEE">
        <w:rPr>
          <w:bCs/>
          <w:sz w:val="24"/>
        </w:rPr>
        <w:t>County</w:t>
      </w:r>
      <w:r w:rsidRPr="00761628">
        <w:rPr>
          <w:bCs/>
          <w:sz w:val="24"/>
        </w:rPr>
        <w:t xml:space="preserve">, MEA </w:t>
      </w:r>
      <w:r w:rsidR="00751DA2">
        <w:rPr>
          <w:bCs/>
          <w:sz w:val="24"/>
        </w:rPr>
        <w:t>will</w:t>
      </w:r>
      <w:r w:rsidRPr="00761628">
        <w:rPr>
          <w:bCs/>
          <w:sz w:val="24"/>
        </w:rPr>
        <w:t xml:space="preserve"> reallocate grant funding to maximize the achievement of the Program goals.  </w:t>
      </w:r>
    </w:p>
    <w:p w14:paraId="3416F40E" w14:textId="4ABC4D8D" w:rsidR="00761628" w:rsidRDefault="00751DA2" w:rsidP="00761628">
      <w:pPr>
        <w:rPr>
          <w:bCs/>
          <w:sz w:val="24"/>
        </w:rPr>
      </w:pPr>
      <w:r>
        <w:rPr>
          <w:bCs/>
          <w:sz w:val="24"/>
        </w:rPr>
        <w:t>A</w:t>
      </w:r>
      <w:r w:rsidR="00761628" w:rsidRPr="00761628">
        <w:rPr>
          <w:bCs/>
          <w:sz w:val="24"/>
        </w:rPr>
        <w:t xml:space="preserve">pplications will be evaluated on a </w:t>
      </w:r>
      <w:r w:rsidR="00E8757D">
        <w:rPr>
          <w:bCs/>
          <w:sz w:val="24"/>
        </w:rPr>
        <w:t>county</w:t>
      </w:r>
      <w:r w:rsidR="00761628" w:rsidRPr="00761628">
        <w:rPr>
          <w:bCs/>
          <w:sz w:val="24"/>
        </w:rPr>
        <w:t>-by-</w:t>
      </w:r>
      <w:r w:rsidR="00E8757D">
        <w:rPr>
          <w:bCs/>
          <w:sz w:val="24"/>
        </w:rPr>
        <w:t xml:space="preserve">county </w:t>
      </w:r>
      <w:r>
        <w:rPr>
          <w:bCs/>
          <w:sz w:val="24"/>
        </w:rPr>
        <w:t xml:space="preserve">basis.  </w:t>
      </w:r>
      <w:r w:rsidRPr="001A295A">
        <w:rPr>
          <w:bCs/>
          <w:i/>
          <w:sz w:val="24"/>
        </w:rPr>
        <w:t>A</w:t>
      </w:r>
      <w:r w:rsidR="00761628" w:rsidRPr="001A295A">
        <w:rPr>
          <w:bCs/>
          <w:i/>
          <w:sz w:val="24"/>
        </w:rPr>
        <w:t>pplicant</w:t>
      </w:r>
      <w:r w:rsidRPr="001A295A">
        <w:rPr>
          <w:bCs/>
          <w:i/>
          <w:sz w:val="24"/>
        </w:rPr>
        <w:t>s wishing</w:t>
      </w:r>
      <w:r w:rsidR="00761628" w:rsidRPr="001A295A">
        <w:rPr>
          <w:bCs/>
          <w:i/>
          <w:sz w:val="24"/>
        </w:rPr>
        <w:t xml:space="preserve"> to apply f</w:t>
      </w:r>
      <w:r w:rsidRPr="001A295A">
        <w:rPr>
          <w:bCs/>
          <w:i/>
          <w:sz w:val="24"/>
        </w:rPr>
        <w:t xml:space="preserve">or grants in multiple counties must submit </w:t>
      </w:r>
      <w:r w:rsidRPr="001A295A">
        <w:rPr>
          <w:bCs/>
          <w:i/>
          <w:sz w:val="24"/>
          <w:u w:val="single"/>
        </w:rPr>
        <w:t>a</w:t>
      </w:r>
      <w:r w:rsidR="00761628" w:rsidRPr="001A295A">
        <w:rPr>
          <w:bCs/>
          <w:i/>
          <w:sz w:val="24"/>
          <w:u w:val="single"/>
        </w:rPr>
        <w:t xml:space="preserve"> </w:t>
      </w:r>
      <w:r w:rsidR="00761628" w:rsidRPr="001A295A">
        <w:rPr>
          <w:b/>
          <w:bCs/>
          <w:i/>
          <w:sz w:val="24"/>
          <w:u w:val="single"/>
        </w:rPr>
        <w:t>separate</w:t>
      </w:r>
      <w:r w:rsidR="00761628" w:rsidRPr="001A295A">
        <w:rPr>
          <w:bCs/>
          <w:i/>
          <w:sz w:val="24"/>
          <w:u w:val="single"/>
        </w:rPr>
        <w:t xml:space="preserve"> grant </w:t>
      </w:r>
      <w:r w:rsidRPr="001A295A">
        <w:rPr>
          <w:bCs/>
          <w:i/>
          <w:sz w:val="24"/>
          <w:u w:val="single"/>
        </w:rPr>
        <w:t>application</w:t>
      </w:r>
      <w:r w:rsidR="00761628" w:rsidRPr="001A295A">
        <w:rPr>
          <w:bCs/>
          <w:i/>
          <w:sz w:val="24"/>
          <w:u w:val="single"/>
        </w:rPr>
        <w:t xml:space="preserve"> for each </w:t>
      </w:r>
      <w:r w:rsidR="00E8757D" w:rsidRPr="001A295A">
        <w:rPr>
          <w:bCs/>
          <w:i/>
          <w:sz w:val="24"/>
          <w:u w:val="single"/>
        </w:rPr>
        <w:t>county</w:t>
      </w:r>
      <w:r w:rsidR="00761628" w:rsidRPr="001A295A">
        <w:rPr>
          <w:bCs/>
          <w:i/>
          <w:sz w:val="24"/>
          <w:u w:val="single"/>
        </w:rPr>
        <w:t>.</w:t>
      </w:r>
      <w:r w:rsidR="00761628" w:rsidRPr="00751DA2">
        <w:rPr>
          <w:bCs/>
          <w:sz w:val="24"/>
          <w:u w:val="single"/>
        </w:rPr>
        <w:t xml:space="preserve">  </w:t>
      </w:r>
    </w:p>
    <w:p w14:paraId="525C8F85" w14:textId="77777777" w:rsidR="004C1F2A" w:rsidRPr="003973EE" w:rsidRDefault="004C1F2A" w:rsidP="004C1F2A">
      <w:pPr>
        <w:rPr>
          <w:b/>
          <w:bCs/>
          <w:sz w:val="24"/>
          <w:u w:val="single"/>
        </w:rPr>
      </w:pPr>
      <w:r w:rsidRPr="003973EE">
        <w:rPr>
          <w:b/>
          <w:bCs/>
          <w:sz w:val="24"/>
          <w:u w:val="single"/>
        </w:rPr>
        <w:t>Grant Project Period</w:t>
      </w:r>
    </w:p>
    <w:p w14:paraId="43FABD8E" w14:textId="2B5D71B8" w:rsidR="004C1F2A" w:rsidRPr="003973EE" w:rsidRDefault="00ED559A" w:rsidP="004C1F2A">
      <w:pPr>
        <w:rPr>
          <w:bCs/>
          <w:sz w:val="24"/>
        </w:rPr>
      </w:pPr>
      <w:r>
        <w:rPr>
          <w:bCs/>
          <w:sz w:val="24"/>
        </w:rPr>
        <w:t xml:space="preserve">If a proposed project is selected for an award under the Program, </w:t>
      </w:r>
      <w:r w:rsidR="004C1F2A" w:rsidRPr="003973EE">
        <w:rPr>
          <w:bCs/>
          <w:sz w:val="24"/>
        </w:rPr>
        <w:t xml:space="preserve">MEA anticipates that grant agreements will be available for signature by </w:t>
      </w:r>
      <w:r>
        <w:rPr>
          <w:bCs/>
          <w:sz w:val="24"/>
        </w:rPr>
        <w:t xml:space="preserve">approximately </w:t>
      </w:r>
      <w:r w:rsidR="001A295A">
        <w:rPr>
          <w:bCs/>
          <w:sz w:val="24"/>
        </w:rPr>
        <w:t>March</w:t>
      </w:r>
      <w:r w:rsidR="004C1F2A" w:rsidRPr="003973EE">
        <w:rPr>
          <w:bCs/>
          <w:sz w:val="24"/>
        </w:rPr>
        <w:t xml:space="preserve"> 201</w:t>
      </w:r>
      <w:r w:rsidR="004C1F2A">
        <w:rPr>
          <w:bCs/>
          <w:sz w:val="24"/>
        </w:rPr>
        <w:t>8</w:t>
      </w:r>
      <w:r w:rsidR="004C1F2A" w:rsidRPr="003973EE">
        <w:rPr>
          <w:b/>
          <w:bCs/>
          <w:sz w:val="24"/>
        </w:rPr>
        <w:t xml:space="preserve">. </w:t>
      </w:r>
      <w:r w:rsidR="004C1F2A" w:rsidRPr="003973EE">
        <w:rPr>
          <w:bCs/>
          <w:sz w:val="24"/>
        </w:rPr>
        <w:t xml:space="preserve">For planning purposes, </w:t>
      </w:r>
      <w:r w:rsidR="004C1F2A" w:rsidRPr="003973EE">
        <w:rPr>
          <w:b/>
          <w:bCs/>
          <w:sz w:val="24"/>
        </w:rPr>
        <w:t xml:space="preserve">all construction activities should be </w:t>
      </w:r>
      <w:r>
        <w:rPr>
          <w:b/>
          <w:bCs/>
          <w:sz w:val="24"/>
        </w:rPr>
        <w:t xml:space="preserve">able to be </w:t>
      </w:r>
      <w:r w:rsidR="004C1F2A" w:rsidRPr="003973EE">
        <w:rPr>
          <w:b/>
          <w:bCs/>
          <w:sz w:val="24"/>
        </w:rPr>
        <w:t>completed by</w:t>
      </w:r>
      <w:r w:rsidR="004C1F2A" w:rsidRPr="003973EE">
        <w:rPr>
          <w:bCs/>
          <w:sz w:val="24"/>
        </w:rPr>
        <w:t xml:space="preserve"> </w:t>
      </w:r>
      <w:r w:rsidR="004C1F2A">
        <w:rPr>
          <w:b/>
          <w:bCs/>
          <w:sz w:val="24"/>
        </w:rPr>
        <w:t>April 1</w:t>
      </w:r>
      <w:r w:rsidR="004C1F2A" w:rsidRPr="003973EE">
        <w:rPr>
          <w:b/>
          <w:bCs/>
          <w:sz w:val="24"/>
        </w:rPr>
        <w:t>, 201</w:t>
      </w:r>
      <w:r w:rsidR="004C1F2A">
        <w:rPr>
          <w:b/>
          <w:bCs/>
          <w:sz w:val="24"/>
        </w:rPr>
        <w:t>9</w:t>
      </w:r>
      <w:r w:rsidR="004C1F2A" w:rsidRPr="003973EE">
        <w:rPr>
          <w:bCs/>
          <w:sz w:val="24"/>
        </w:rPr>
        <w:t>, with all invoices and project reports submitted to MEA no later than May 1, 201</w:t>
      </w:r>
      <w:r w:rsidR="004C1F2A">
        <w:rPr>
          <w:bCs/>
          <w:sz w:val="24"/>
        </w:rPr>
        <w:t>9</w:t>
      </w:r>
      <w:r w:rsidR="004C1F2A" w:rsidRPr="003973EE">
        <w:rPr>
          <w:bCs/>
          <w:sz w:val="24"/>
        </w:rPr>
        <w:t xml:space="preserve">.  </w:t>
      </w:r>
    </w:p>
    <w:p w14:paraId="6ED3E747" w14:textId="177238A3" w:rsidR="004C1F2A" w:rsidRDefault="004C1F2A" w:rsidP="00433DFA">
      <w:pPr>
        <w:spacing w:after="0"/>
        <w:rPr>
          <w:b/>
          <w:bCs/>
          <w:color w:val="FF0000"/>
          <w:sz w:val="24"/>
        </w:rPr>
      </w:pPr>
      <w:r w:rsidRPr="003973EE">
        <w:rPr>
          <w:bCs/>
          <w:sz w:val="24"/>
        </w:rPr>
        <w:t xml:space="preserve">Please note, however, that </w:t>
      </w:r>
      <w:r w:rsidRPr="00812EA1">
        <w:rPr>
          <w:b/>
          <w:bCs/>
          <w:color w:val="FF0000"/>
          <w:sz w:val="24"/>
        </w:rPr>
        <w:t>equipment purchases and project work</w:t>
      </w:r>
      <w:r w:rsidRPr="003D54AA">
        <w:rPr>
          <w:color w:val="FF0000"/>
          <w:sz w:val="24"/>
        </w:rPr>
        <w:t xml:space="preserve"> </w:t>
      </w:r>
      <w:r w:rsidRPr="009A0FE3">
        <w:rPr>
          <w:b/>
          <w:bCs/>
          <w:color w:val="FF0000"/>
          <w:sz w:val="24"/>
        </w:rPr>
        <w:t>cannot begin prior to the execution of the grant agreement between the Grantee and MEA.</w:t>
      </w:r>
    </w:p>
    <w:p w14:paraId="1B6F846C" w14:textId="77777777" w:rsidR="00433DFA" w:rsidRDefault="00433DFA" w:rsidP="00433DFA">
      <w:pPr>
        <w:spacing w:after="0"/>
        <w:rPr>
          <w:b/>
          <w:bCs/>
          <w:sz w:val="24"/>
        </w:rPr>
      </w:pPr>
    </w:p>
    <w:tbl>
      <w:tblPr>
        <w:tblStyle w:val="TableGrid"/>
        <w:tblW w:w="0" w:type="auto"/>
        <w:tblLook w:val="04A0" w:firstRow="1" w:lastRow="0" w:firstColumn="1" w:lastColumn="0" w:noHBand="0" w:noVBand="1"/>
      </w:tblPr>
      <w:tblGrid>
        <w:gridCol w:w="10790"/>
      </w:tblGrid>
      <w:tr w:rsidR="00D40272" w14:paraId="5CB41751" w14:textId="77777777" w:rsidTr="00D40272">
        <w:trPr>
          <w:trHeight w:val="323"/>
        </w:trPr>
        <w:tc>
          <w:tcPr>
            <w:tcW w:w="11016" w:type="dxa"/>
            <w:shd w:val="clear" w:color="auto" w:fill="DEEAF6" w:themeFill="accent1" w:themeFillTint="33"/>
          </w:tcPr>
          <w:p w14:paraId="37308D93" w14:textId="1424CBD2" w:rsidR="00D40272" w:rsidRPr="00802107" w:rsidRDefault="00D40272" w:rsidP="00406009">
            <w:pPr>
              <w:rPr>
                <w:b/>
                <w:bCs/>
                <w:sz w:val="24"/>
              </w:rPr>
            </w:pPr>
            <w:bookmarkStart w:id="2" w:name="Eligibility"/>
            <w:r>
              <w:rPr>
                <w:b/>
                <w:bCs/>
                <w:sz w:val="24"/>
              </w:rPr>
              <w:t>ELIGIBILITY &amp; TERMS</w:t>
            </w:r>
            <w:bookmarkEnd w:id="2"/>
          </w:p>
        </w:tc>
      </w:tr>
    </w:tbl>
    <w:p w14:paraId="0E7CF17E" w14:textId="77777777" w:rsidR="003973EE" w:rsidRPr="003973EE" w:rsidRDefault="003973EE" w:rsidP="00F33108">
      <w:pPr>
        <w:spacing w:before="120"/>
        <w:rPr>
          <w:b/>
          <w:bCs/>
          <w:sz w:val="24"/>
          <w:u w:val="single"/>
        </w:rPr>
      </w:pPr>
      <w:r w:rsidRPr="003973EE">
        <w:rPr>
          <w:b/>
          <w:bCs/>
          <w:sz w:val="24"/>
          <w:u w:val="single"/>
        </w:rPr>
        <w:t>Eligible Applicants</w:t>
      </w:r>
    </w:p>
    <w:p w14:paraId="6A493043" w14:textId="29BEDFCC" w:rsidR="003973EE" w:rsidRPr="003973EE" w:rsidRDefault="003973EE" w:rsidP="003973EE">
      <w:pPr>
        <w:rPr>
          <w:bCs/>
          <w:sz w:val="24"/>
        </w:rPr>
      </w:pPr>
      <w:r w:rsidRPr="003973EE">
        <w:rPr>
          <w:bCs/>
          <w:sz w:val="24"/>
        </w:rPr>
        <w:t xml:space="preserve">The following organization types are eligible to receive funding through the </w:t>
      </w:r>
      <w:r w:rsidR="00087219">
        <w:rPr>
          <w:bCs/>
          <w:sz w:val="24"/>
        </w:rPr>
        <w:t>FY18</w:t>
      </w:r>
      <w:r w:rsidRPr="003973EE">
        <w:rPr>
          <w:bCs/>
          <w:sz w:val="24"/>
        </w:rPr>
        <w:t xml:space="preserve"> Program:</w:t>
      </w:r>
    </w:p>
    <w:p w14:paraId="14CD61BE" w14:textId="77777777" w:rsidR="003973EE" w:rsidRPr="003973EE" w:rsidRDefault="003973EE" w:rsidP="001A295A">
      <w:pPr>
        <w:numPr>
          <w:ilvl w:val="0"/>
          <w:numId w:val="9"/>
        </w:numPr>
        <w:spacing w:after="0"/>
        <w:rPr>
          <w:bCs/>
          <w:sz w:val="24"/>
        </w:rPr>
      </w:pPr>
      <w:r w:rsidRPr="003973EE">
        <w:rPr>
          <w:bCs/>
          <w:sz w:val="24"/>
        </w:rPr>
        <w:t>Local governments (counties and/or municipalities)</w:t>
      </w:r>
    </w:p>
    <w:p w14:paraId="262B82FA" w14:textId="77777777" w:rsidR="003973EE" w:rsidRPr="003973EE" w:rsidRDefault="003973EE" w:rsidP="003973EE">
      <w:pPr>
        <w:numPr>
          <w:ilvl w:val="0"/>
          <w:numId w:val="9"/>
        </w:numPr>
        <w:rPr>
          <w:bCs/>
          <w:sz w:val="24"/>
        </w:rPr>
      </w:pPr>
      <w:r w:rsidRPr="003973EE">
        <w:rPr>
          <w:bCs/>
          <w:sz w:val="24"/>
        </w:rPr>
        <w:t>Incorporated non-profit organizations</w:t>
      </w:r>
    </w:p>
    <w:p w14:paraId="6E4C7933" w14:textId="77777777" w:rsidR="003973EE" w:rsidRDefault="003973EE" w:rsidP="003973EE">
      <w:pPr>
        <w:rPr>
          <w:sz w:val="24"/>
        </w:rPr>
      </w:pPr>
      <w:r w:rsidRPr="003973EE">
        <w:rPr>
          <w:bCs/>
          <w:sz w:val="24"/>
          <w:u w:val="single"/>
          <w:lang w:val="x-none"/>
        </w:rPr>
        <w:t>Non-profit organization</w:t>
      </w:r>
      <w:r w:rsidRPr="003973EE">
        <w:rPr>
          <w:sz w:val="24"/>
          <w:u w:val="single"/>
          <w:lang w:val="x-none"/>
        </w:rPr>
        <w:t>s</w:t>
      </w:r>
      <w:r w:rsidRPr="003973EE">
        <w:rPr>
          <w:sz w:val="24"/>
          <w:lang w:val="x-none"/>
        </w:rPr>
        <w:t xml:space="preserve"> </w:t>
      </w:r>
      <w:r w:rsidRPr="003973EE">
        <w:rPr>
          <w:sz w:val="24"/>
        </w:rPr>
        <w:t>must</w:t>
      </w:r>
      <w:r w:rsidRPr="003973EE">
        <w:rPr>
          <w:sz w:val="24"/>
          <w:lang w:val="x-none"/>
        </w:rPr>
        <w:t xml:space="preserve"> include a description of the organization</w:t>
      </w:r>
      <w:r w:rsidRPr="003973EE">
        <w:rPr>
          <w:sz w:val="24"/>
        </w:rPr>
        <w:t>’s mission, purpose, and organizational structure</w:t>
      </w:r>
      <w:r w:rsidRPr="003973EE">
        <w:rPr>
          <w:sz w:val="24"/>
          <w:lang w:val="x-none"/>
        </w:rPr>
        <w:t xml:space="preserve"> in </w:t>
      </w:r>
      <w:r w:rsidRPr="003973EE">
        <w:rPr>
          <w:sz w:val="24"/>
        </w:rPr>
        <w:t xml:space="preserve">section </w:t>
      </w:r>
      <w:r w:rsidR="00722B1A">
        <w:rPr>
          <w:sz w:val="24"/>
        </w:rPr>
        <w:t>11</w:t>
      </w:r>
      <w:r w:rsidRPr="003973EE">
        <w:rPr>
          <w:sz w:val="24"/>
        </w:rPr>
        <w:t xml:space="preserve"> of </w:t>
      </w:r>
      <w:r w:rsidRPr="003973EE">
        <w:rPr>
          <w:sz w:val="24"/>
          <w:lang w:val="x-none"/>
        </w:rPr>
        <w:t xml:space="preserve">the grant application.  Additionally, proof of incorporation </w:t>
      </w:r>
      <w:r w:rsidRPr="003973EE">
        <w:rPr>
          <w:sz w:val="24"/>
        </w:rPr>
        <w:t xml:space="preserve">should </w:t>
      </w:r>
      <w:r w:rsidRPr="003973EE">
        <w:rPr>
          <w:sz w:val="24"/>
          <w:lang w:val="x-none"/>
        </w:rPr>
        <w:t xml:space="preserve">be included as an attachment to the grant application.  </w:t>
      </w:r>
      <w:r w:rsidRPr="003973EE">
        <w:rPr>
          <w:sz w:val="24"/>
        </w:rPr>
        <w:t>If an applicant is a non-profit organization and will be using a for-profit entity that has a relationship to the applicant, including but not limited to a past or present business affiliate relationship, the applicant is required to disclose this relationship in the application.  Nondisclosure of this information may be grounds for revocation of the grant.</w:t>
      </w:r>
    </w:p>
    <w:p w14:paraId="143DD08E" w14:textId="77777777" w:rsidR="004C1F2A" w:rsidRPr="00761628" w:rsidRDefault="004C1F2A" w:rsidP="004C1F2A">
      <w:pPr>
        <w:rPr>
          <w:b/>
          <w:bCs/>
          <w:sz w:val="24"/>
          <w:u w:val="single"/>
        </w:rPr>
      </w:pPr>
      <w:r w:rsidRPr="00761628">
        <w:rPr>
          <w:b/>
          <w:bCs/>
          <w:sz w:val="24"/>
          <w:u w:val="single"/>
        </w:rPr>
        <w:t>Funding from Other Sources</w:t>
      </w:r>
    </w:p>
    <w:p w14:paraId="2276836C" w14:textId="77777777" w:rsidR="004C1F2A" w:rsidRPr="00761628" w:rsidRDefault="004C1F2A" w:rsidP="004C1F2A">
      <w:pPr>
        <w:rPr>
          <w:bCs/>
          <w:sz w:val="24"/>
        </w:rPr>
      </w:pPr>
      <w:r w:rsidRPr="00761628">
        <w:rPr>
          <w:bCs/>
          <w:sz w:val="24"/>
        </w:rPr>
        <w:t>Grants may be made in conjunction with, or in addition to, financial assistance provided through other state, federal, or private programs. In all cases, MEA Funds must supplement, and not supplant, other funding sources.  While matching funds are not required, Grantees are encouraged to make a contribution in order to maximize the amount of energy savings achieved through the project. Matching funds may include:</w:t>
      </w:r>
    </w:p>
    <w:p w14:paraId="379C83AD" w14:textId="77777777" w:rsidR="004C1F2A" w:rsidRPr="00761628" w:rsidRDefault="004C1F2A" w:rsidP="004C1F2A">
      <w:pPr>
        <w:numPr>
          <w:ilvl w:val="0"/>
          <w:numId w:val="7"/>
        </w:numPr>
        <w:spacing w:after="0"/>
        <w:rPr>
          <w:bCs/>
          <w:sz w:val="24"/>
        </w:rPr>
      </w:pPr>
      <w:r w:rsidRPr="00761628">
        <w:rPr>
          <w:bCs/>
          <w:sz w:val="24"/>
        </w:rPr>
        <w:t>Cash</w:t>
      </w:r>
    </w:p>
    <w:p w14:paraId="0A745B98" w14:textId="77777777" w:rsidR="004C1F2A" w:rsidRPr="00761628" w:rsidRDefault="004C1F2A" w:rsidP="004C1F2A">
      <w:pPr>
        <w:numPr>
          <w:ilvl w:val="0"/>
          <w:numId w:val="7"/>
        </w:numPr>
        <w:spacing w:after="0"/>
        <w:rPr>
          <w:bCs/>
          <w:sz w:val="24"/>
        </w:rPr>
      </w:pPr>
      <w:r w:rsidRPr="00761628">
        <w:rPr>
          <w:bCs/>
          <w:sz w:val="24"/>
        </w:rPr>
        <w:t>In-kind services</w:t>
      </w:r>
    </w:p>
    <w:p w14:paraId="2CEA7E3B" w14:textId="77777777" w:rsidR="004C1F2A" w:rsidRPr="00761628" w:rsidRDefault="004C1F2A" w:rsidP="004C1F2A">
      <w:pPr>
        <w:numPr>
          <w:ilvl w:val="0"/>
          <w:numId w:val="7"/>
        </w:numPr>
        <w:spacing w:after="0"/>
        <w:rPr>
          <w:bCs/>
          <w:sz w:val="24"/>
        </w:rPr>
      </w:pPr>
      <w:r w:rsidRPr="00761628">
        <w:rPr>
          <w:bCs/>
          <w:sz w:val="24"/>
        </w:rPr>
        <w:t>Equipment, labor, or materials</w:t>
      </w:r>
    </w:p>
    <w:p w14:paraId="3AF97720" w14:textId="77777777" w:rsidR="004C1F2A" w:rsidRPr="00761628" w:rsidRDefault="004C1F2A" w:rsidP="004C1F2A">
      <w:pPr>
        <w:numPr>
          <w:ilvl w:val="0"/>
          <w:numId w:val="7"/>
        </w:numPr>
        <w:rPr>
          <w:bCs/>
          <w:sz w:val="24"/>
        </w:rPr>
      </w:pPr>
      <w:r w:rsidRPr="00761628">
        <w:rPr>
          <w:bCs/>
          <w:sz w:val="24"/>
        </w:rPr>
        <w:t>Energy efficiency utility incentives</w:t>
      </w:r>
    </w:p>
    <w:p w14:paraId="0F5BCA5D" w14:textId="40FEF082" w:rsidR="004C1F2A" w:rsidRPr="00761628" w:rsidRDefault="004C1F2A" w:rsidP="004C1F2A">
      <w:pPr>
        <w:rPr>
          <w:b/>
          <w:sz w:val="24"/>
        </w:rPr>
      </w:pPr>
      <w:r w:rsidRPr="00761628">
        <w:rPr>
          <w:bCs/>
          <w:sz w:val="24"/>
        </w:rPr>
        <w:t xml:space="preserve">MEA </w:t>
      </w:r>
      <w:r w:rsidR="005014E5">
        <w:rPr>
          <w:bCs/>
          <w:sz w:val="24"/>
        </w:rPr>
        <w:t xml:space="preserve">allows </w:t>
      </w:r>
      <w:r w:rsidRPr="00761628">
        <w:rPr>
          <w:bCs/>
          <w:sz w:val="24"/>
        </w:rPr>
        <w:t>grant applicants to pursue support through any EmPOWER Maryland energy efficiency utility program available in their project location.</w:t>
      </w:r>
      <w:r w:rsidRPr="00761628">
        <w:rPr>
          <w:bCs/>
          <w:iCs/>
          <w:sz w:val="24"/>
        </w:rPr>
        <w:t xml:space="preserve"> These incentives should enable Grantees to expand the size of </w:t>
      </w:r>
      <w:r w:rsidRPr="00761628">
        <w:rPr>
          <w:bCs/>
          <w:iCs/>
          <w:sz w:val="24"/>
        </w:rPr>
        <w:lastRenderedPageBreak/>
        <w:t>their respective energy projects, install more energy efficiency measures and/or serve more low-to-moderate income households.</w:t>
      </w:r>
    </w:p>
    <w:p w14:paraId="4F6F0D0E" w14:textId="1227DD77" w:rsidR="004C1F2A" w:rsidRPr="00751DA2" w:rsidRDefault="004C1F2A" w:rsidP="004C1F2A">
      <w:pPr>
        <w:rPr>
          <w:sz w:val="24"/>
          <w:u w:val="single"/>
        </w:rPr>
      </w:pPr>
      <w:r w:rsidRPr="00761628">
        <w:rPr>
          <w:sz w:val="24"/>
        </w:rPr>
        <w:t xml:space="preserve">Grantees with </w:t>
      </w:r>
      <w:r>
        <w:rPr>
          <w:sz w:val="24"/>
        </w:rPr>
        <w:t xml:space="preserve">leveraged funding should note that </w:t>
      </w:r>
      <w:r w:rsidRPr="00751DA2">
        <w:rPr>
          <w:sz w:val="24"/>
        </w:rPr>
        <w:t>MEA will only reimburse the Grantee for the allowable cost of approved energy efficiency measures less the amount of leveraged funds.</w:t>
      </w:r>
      <w:r>
        <w:rPr>
          <w:sz w:val="24"/>
        </w:rPr>
        <w:t xml:space="preserve"> </w:t>
      </w:r>
      <w:r w:rsidRPr="00761628">
        <w:rPr>
          <w:sz w:val="24"/>
        </w:rPr>
        <w:t xml:space="preserve">Each Grantee must share incentive </w:t>
      </w:r>
      <w:r w:rsidR="00DE3AC0">
        <w:rPr>
          <w:sz w:val="24"/>
        </w:rPr>
        <w:t xml:space="preserve">and leveraged fund </w:t>
      </w:r>
      <w:r w:rsidRPr="00761628">
        <w:rPr>
          <w:sz w:val="24"/>
        </w:rPr>
        <w:t xml:space="preserve">information with MEA as part of the grant reporting process.  </w:t>
      </w:r>
    </w:p>
    <w:p w14:paraId="72549F8F" w14:textId="77777777" w:rsidR="004C1F2A" w:rsidRDefault="004C1F2A" w:rsidP="004C1F2A">
      <w:pPr>
        <w:rPr>
          <w:sz w:val="24"/>
        </w:rPr>
      </w:pPr>
      <w:r w:rsidRPr="00761628">
        <w:rPr>
          <w:sz w:val="24"/>
        </w:rPr>
        <w:t xml:space="preserve">All grant funding leveraged from sources other than MEA, including incentives obtained through participating utility rebate programs, should be summarized in </w:t>
      </w:r>
      <w:r w:rsidRPr="00761628">
        <w:rPr>
          <w:i/>
          <w:sz w:val="24"/>
        </w:rPr>
        <w:t xml:space="preserve">Section </w:t>
      </w:r>
      <w:r>
        <w:rPr>
          <w:i/>
          <w:sz w:val="24"/>
        </w:rPr>
        <w:t>14</w:t>
      </w:r>
      <w:r w:rsidRPr="00761628">
        <w:rPr>
          <w:i/>
          <w:sz w:val="24"/>
        </w:rPr>
        <w:t>: Total Funding Match/Leveraged Funds</w:t>
      </w:r>
      <w:r w:rsidRPr="00761628">
        <w:rPr>
          <w:b/>
          <w:sz w:val="24"/>
        </w:rPr>
        <w:t xml:space="preserve"> </w:t>
      </w:r>
      <w:r w:rsidRPr="00761628">
        <w:rPr>
          <w:sz w:val="24"/>
        </w:rPr>
        <w:t>of the grant application.</w:t>
      </w:r>
    </w:p>
    <w:p w14:paraId="06D28534" w14:textId="77777777" w:rsidR="003973EE" w:rsidRPr="003973EE" w:rsidRDefault="003973EE" w:rsidP="003973EE">
      <w:pPr>
        <w:rPr>
          <w:sz w:val="24"/>
        </w:rPr>
      </w:pPr>
      <w:r w:rsidRPr="003973EE">
        <w:rPr>
          <w:b/>
          <w:bCs/>
          <w:sz w:val="24"/>
          <w:u w:val="single"/>
        </w:rPr>
        <w:t>Grant Income Requirements</w:t>
      </w:r>
    </w:p>
    <w:p w14:paraId="554CD01D" w14:textId="3C4F7607" w:rsidR="003973EE" w:rsidRPr="003973EE" w:rsidRDefault="003973EE" w:rsidP="003973EE">
      <w:pPr>
        <w:rPr>
          <w:sz w:val="24"/>
        </w:rPr>
      </w:pPr>
      <w:r w:rsidRPr="003973EE">
        <w:rPr>
          <w:bCs/>
          <w:sz w:val="24"/>
        </w:rPr>
        <w:t xml:space="preserve">Funds </w:t>
      </w:r>
      <w:r w:rsidRPr="003973EE">
        <w:rPr>
          <w:bCs/>
          <w:sz w:val="24"/>
          <w:u w:val="single"/>
        </w:rPr>
        <w:t>must</w:t>
      </w:r>
      <w:r w:rsidRPr="003973EE">
        <w:rPr>
          <w:bCs/>
          <w:sz w:val="24"/>
        </w:rPr>
        <w:t xml:space="preserve"> be used to fund energy efficiency projects that benefit Maryland’s low-to-moderate income population.  </w:t>
      </w:r>
      <w:r w:rsidRPr="003973EE">
        <w:rPr>
          <w:sz w:val="24"/>
        </w:rPr>
        <w:t>For the purposes of this application, low and moderate income households are defined as households with total household incomes that are less than 60% and 85%, respectively, of the median income for each Maryland</w:t>
      </w:r>
      <w:r w:rsidR="00722B1A">
        <w:rPr>
          <w:sz w:val="24"/>
        </w:rPr>
        <w:t xml:space="preserve"> </w:t>
      </w:r>
      <w:r w:rsidR="00E8757D">
        <w:rPr>
          <w:sz w:val="24"/>
        </w:rPr>
        <w:t>county</w:t>
      </w:r>
      <w:r w:rsidR="00722B1A">
        <w:rPr>
          <w:sz w:val="24"/>
        </w:rPr>
        <w:t>.  Income limits for 2017</w:t>
      </w:r>
      <w:r w:rsidRPr="003973EE">
        <w:rPr>
          <w:sz w:val="24"/>
        </w:rPr>
        <w:t xml:space="preserve"> can be found on the </w:t>
      </w:r>
      <w:hyperlink r:id="rId9" w:history="1">
        <w:r w:rsidRPr="003973EE">
          <w:rPr>
            <w:rStyle w:val="Hyperlink"/>
            <w:sz w:val="24"/>
          </w:rPr>
          <w:t>Maryland Department of Housing and Community Development (DHCD) website</w:t>
        </w:r>
      </w:hyperlink>
      <w:r w:rsidRPr="003973EE">
        <w:rPr>
          <w:sz w:val="24"/>
        </w:rPr>
        <w:t>; 60% income limits can be found on pages 10 and 11, and 85% income limits can be found on pages 18 and 19.</w:t>
      </w:r>
    </w:p>
    <w:p w14:paraId="7ED8D986" w14:textId="77777777" w:rsidR="003973EE" w:rsidRPr="003973EE" w:rsidRDefault="003973EE" w:rsidP="002130B5">
      <w:pPr>
        <w:spacing w:after="0"/>
        <w:rPr>
          <w:b/>
          <w:sz w:val="24"/>
          <w:u w:val="single"/>
        </w:rPr>
      </w:pPr>
      <w:r w:rsidRPr="003973EE">
        <w:rPr>
          <w:b/>
          <w:sz w:val="24"/>
          <w:u w:val="single"/>
        </w:rPr>
        <w:t>Examples</w:t>
      </w:r>
      <w:r w:rsidRPr="003973EE">
        <w:rPr>
          <w:b/>
          <w:sz w:val="24"/>
        </w:rPr>
        <w:t>:</w:t>
      </w:r>
      <w:r w:rsidRPr="003973EE">
        <w:rPr>
          <w:b/>
          <w:sz w:val="24"/>
          <w:u w:val="single"/>
        </w:rPr>
        <w:t xml:space="preserve"> </w:t>
      </w:r>
    </w:p>
    <w:p w14:paraId="601DE695" w14:textId="77777777" w:rsidR="003973EE" w:rsidRPr="003973EE" w:rsidRDefault="003973EE" w:rsidP="002130B5">
      <w:pPr>
        <w:spacing w:after="0"/>
        <w:rPr>
          <w:sz w:val="24"/>
        </w:rPr>
      </w:pPr>
      <w:r w:rsidRPr="003973EE">
        <w:rPr>
          <w:sz w:val="24"/>
        </w:rPr>
        <w:tab/>
      </w:r>
      <w:r w:rsidRPr="003973EE">
        <w:rPr>
          <w:sz w:val="24"/>
        </w:rPr>
        <w:tab/>
      </w:r>
      <w:r w:rsidRPr="003973EE">
        <w:rPr>
          <w:sz w:val="24"/>
        </w:rPr>
        <w:tab/>
      </w:r>
      <w:r w:rsidRPr="003973EE">
        <w:rPr>
          <w:sz w:val="24"/>
        </w:rPr>
        <w:tab/>
      </w:r>
      <w:r w:rsidRPr="003973EE">
        <w:rPr>
          <w:sz w:val="24"/>
        </w:rPr>
        <w:tab/>
      </w:r>
      <w:r w:rsidRPr="003973EE">
        <w:rPr>
          <w:sz w:val="24"/>
        </w:rPr>
        <w:tab/>
      </w:r>
      <w:r>
        <w:rPr>
          <w:sz w:val="24"/>
        </w:rPr>
        <w:t xml:space="preserve">            </w:t>
      </w:r>
      <w:r w:rsidRPr="003973EE">
        <w:rPr>
          <w:sz w:val="24"/>
          <w:u w:val="single"/>
        </w:rPr>
        <w:t>60% AMI</w:t>
      </w:r>
      <w:r>
        <w:rPr>
          <w:sz w:val="24"/>
        </w:rPr>
        <w:t xml:space="preserve">            </w:t>
      </w:r>
      <w:r w:rsidRPr="003973EE">
        <w:rPr>
          <w:sz w:val="24"/>
          <w:u w:val="single"/>
        </w:rPr>
        <w:t>85% AMI</w:t>
      </w:r>
      <w:r w:rsidRPr="003973EE">
        <w:rPr>
          <w:sz w:val="24"/>
        </w:rPr>
        <w:tab/>
      </w:r>
    </w:p>
    <w:p w14:paraId="7623DA89" w14:textId="06B48C81" w:rsidR="003973EE" w:rsidRPr="003973EE" w:rsidRDefault="003973EE" w:rsidP="002130B5">
      <w:pPr>
        <w:spacing w:after="0"/>
        <w:rPr>
          <w:sz w:val="24"/>
        </w:rPr>
      </w:pPr>
      <w:r w:rsidRPr="003973EE">
        <w:rPr>
          <w:sz w:val="24"/>
        </w:rPr>
        <w:t>4 person house</w:t>
      </w:r>
      <w:r w:rsidR="00722B1A">
        <w:rPr>
          <w:sz w:val="24"/>
        </w:rPr>
        <w:t xml:space="preserve">hold in Allegany </w:t>
      </w:r>
      <w:r w:rsidR="003B0CEE">
        <w:rPr>
          <w:sz w:val="24"/>
        </w:rPr>
        <w:t>County</w:t>
      </w:r>
      <w:r w:rsidR="00722B1A">
        <w:rPr>
          <w:sz w:val="24"/>
        </w:rPr>
        <w:tab/>
      </w:r>
      <w:r w:rsidR="00722B1A">
        <w:rPr>
          <w:sz w:val="24"/>
        </w:rPr>
        <w:tab/>
        <w:t>$41,100</w:t>
      </w:r>
      <w:r w:rsidR="00722B1A">
        <w:rPr>
          <w:sz w:val="24"/>
        </w:rPr>
        <w:tab/>
        <w:t>$ 58,200</w:t>
      </w:r>
      <w:r w:rsidRPr="003973EE">
        <w:rPr>
          <w:sz w:val="24"/>
        </w:rPr>
        <w:tab/>
      </w:r>
    </w:p>
    <w:p w14:paraId="5883B600" w14:textId="3C8032F5" w:rsidR="003973EE" w:rsidRPr="003973EE" w:rsidRDefault="003973EE" w:rsidP="003973EE">
      <w:pPr>
        <w:rPr>
          <w:sz w:val="24"/>
        </w:rPr>
      </w:pPr>
      <w:r w:rsidRPr="003973EE">
        <w:rPr>
          <w:sz w:val="24"/>
        </w:rPr>
        <w:t xml:space="preserve">2 person household in Anne Arundel </w:t>
      </w:r>
      <w:r w:rsidR="003B0CEE">
        <w:rPr>
          <w:sz w:val="24"/>
        </w:rPr>
        <w:t>County</w:t>
      </w:r>
      <w:r w:rsidRPr="003973EE">
        <w:rPr>
          <w:sz w:val="24"/>
        </w:rPr>
        <w:t>*</w:t>
      </w:r>
      <w:r w:rsidRPr="003973EE">
        <w:rPr>
          <w:sz w:val="24"/>
        </w:rPr>
        <w:tab/>
        <w:t>$</w:t>
      </w:r>
      <w:r w:rsidR="00722B1A">
        <w:rPr>
          <w:sz w:val="24"/>
        </w:rPr>
        <w:t>43,750</w:t>
      </w:r>
      <w:r w:rsidRPr="003973EE">
        <w:rPr>
          <w:sz w:val="24"/>
        </w:rPr>
        <w:tab/>
        <w:t xml:space="preserve">$ </w:t>
      </w:r>
      <w:r w:rsidR="00722B1A">
        <w:rPr>
          <w:sz w:val="24"/>
        </w:rPr>
        <w:t>61,950</w:t>
      </w:r>
    </w:p>
    <w:p w14:paraId="4FE9FE22" w14:textId="1D47CB50" w:rsidR="003973EE" w:rsidRPr="003973EE" w:rsidRDefault="003973EE" w:rsidP="003973EE">
      <w:pPr>
        <w:rPr>
          <w:sz w:val="24"/>
        </w:rPr>
      </w:pPr>
      <w:r w:rsidRPr="003973EE">
        <w:rPr>
          <w:sz w:val="24"/>
        </w:rPr>
        <w:t xml:space="preserve">*Anne Arundel </w:t>
      </w:r>
      <w:r w:rsidR="003B0CEE">
        <w:rPr>
          <w:sz w:val="24"/>
        </w:rPr>
        <w:t>County</w:t>
      </w:r>
      <w:r w:rsidRPr="003973EE">
        <w:rPr>
          <w:sz w:val="24"/>
        </w:rPr>
        <w:t xml:space="preserve"> is located in the Baltimore </w:t>
      </w:r>
      <w:r w:rsidR="00DE3AC0">
        <w:rPr>
          <w:sz w:val="24"/>
        </w:rPr>
        <w:t>Primary Metropolitan Statistical Area (</w:t>
      </w:r>
      <w:r w:rsidRPr="003973EE">
        <w:rPr>
          <w:sz w:val="24"/>
        </w:rPr>
        <w:t>PMSA</w:t>
      </w:r>
      <w:r w:rsidR="00DE3AC0">
        <w:rPr>
          <w:sz w:val="24"/>
        </w:rPr>
        <w:t>), as defined by the U.S. Department of Housing and Urban Development</w:t>
      </w:r>
      <w:r w:rsidRPr="003973EE">
        <w:rPr>
          <w:sz w:val="24"/>
        </w:rPr>
        <w:t>.</w:t>
      </w:r>
    </w:p>
    <w:p w14:paraId="5EC739EA" w14:textId="3639D138" w:rsidR="003973EE" w:rsidRPr="003973EE" w:rsidRDefault="003973EE" w:rsidP="003973EE">
      <w:pPr>
        <w:rPr>
          <w:bCs/>
          <w:sz w:val="24"/>
        </w:rPr>
      </w:pPr>
      <w:r w:rsidRPr="00DE3AC0">
        <w:rPr>
          <w:b/>
          <w:bCs/>
          <w:sz w:val="24"/>
        </w:rPr>
        <w:t>Grant application</w:t>
      </w:r>
      <w:r w:rsidR="00EA0CB8" w:rsidRPr="00DE3AC0">
        <w:rPr>
          <w:b/>
          <w:bCs/>
          <w:sz w:val="24"/>
        </w:rPr>
        <w:t>s must clearly specify how low-</w:t>
      </w:r>
      <w:r w:rsidR="00B87D58" w:rsidRPr="00DE3AC0">
        <w:rPr>
          <w:b/>
          <w:bCs/>
          <w:sz w:val="24"/>
        </w:rPr>
        <w:t>to-</w:t>
      </w:r>
      <w:r w:rsidRPr="00DE3AC0">
        <w:rPr>
          <w:b/>
          <w:bCs/>
          <w:sz w:val="24"/>
        </w:rPr>
        <w:t>moderate-income Mar</w:t>
      </w:r>
      <w:r w:rsidR="00DE3AC0" w:rsidRPr="00DE3AC0">
        <w:rPr>
          <w:b/>
          <w:bCs/>
          <w:sz w:val="24"/>
        </w:rPr>
        <w:t>ylanders will benefit from the proposed g</w:t>
      </w:r>
      <w:r w:rsidRPr="00DE3AC0">
        <w:rPr>
          <w:b/>
          <w:bCs/>
          <w:sz w:val="24"/>
        </w:rPr>
        <w:t>rant either as participants in the program or as bene</w:t>
      </w:r>
      <w:r w:rsidR="00B87D58" w:rsidRPr="00DE3AC0">
        <w:rPr>
          <w:b/>
          <w:bCs/>
          <w:sz w:val="24"/>
        </w:rPr>
        <w:t>ficiaries</w:t>
      </w:r>
      <w:r w:rsidR="00B87D58" w:rsidRPr="00F33108">
        <w:rPr>
          <w:b/>
          <w:sz w:val="24"/>
        </w:rPr>
        <w:t>.</w:t>
      </w:r>
      <w:r w:rsidR="00B87D58">
        <w:rPr>
          <w:bCs/>
          <w:sz w:val="24"/>
        </w:rPr>
        <w:t xml:space="preserve">  For instance, a non</w:t>
      </w:r>
      <w:r w:rsidRPr="003973EE">
        <w:rPr>
          <w:bCs/>
          <w:sz w:val="24"/>
        </w:rPr>
        <w:t xml:space="preserve">profit organization could apply for a </w:t>
      </w:r>
      <w:r w:rsidR="00B87D58">
        <w:rPr>
          <w:bCs/>
          <w:sz w:val="24"/>
        </w:rPr>
        <w:t>G</w:t>
      </w:r>
      <w:r w:rsidRPr="003973EE">
        <w:rPr>
          <w:bCs/>
          <w:sz w:val="24"/>
        </w:rPr>
        <w:t xml:space="preserve">rant to make energy efficiency improvements in a senior living facility where residents are responsible for paying utility bills. </w:t>
      </w:r>
    </w:p>
    <w:p w14:paraId="1C059E80" w14:textId="463A7D15" w:rsidR="003973EE" w:rsidRDefault="003973EE" w:rsidP="003973EE">
      <w:pPr>
        <w:rPr>
          <w:bCs/>
          <w:sz w:val="24"/>
        </w:rPr>
      </w:pPr>
      <w:r w:rsidRPr="003973EE">
        <w:rPr>
          <w:bCs/>
          <w:sz w:val="24"/>
        </w:rPr>
        <w:t xml:space="preserve">As part of Program requirements, Grantees will be responsible for verifying that program participants and/or beneficiaries comply with the established income limits. </w:t>
      </w:r>
      <w:r w:rsidR="00836033">
        <w:rPr>
          <w:bCs/>
          <w:i/>
          <w:sz w:val="24"/>
        </w:rPr>
        <w:t xml:space="preserve">Section </w:t>
      </w:r>
      <w:r w:rsidR="000145BA">
        <w:rPr>
          <w:bCs/>
          <w:i/>
          <w:sz w:val="24"/>
        </w:rPr>
        <w:t>25</w:t>
      </w:r>
      <w:r w:rsidRPr="003973EE">
        <w:rPr>
          <w:bCs/>
          <w:i/>
          <w:sz w:val="24"/>
        </w:rPr>
        <w:t>: Eligibility Verification</w:t>
      </w:r>
      <w:r w:rsidRPr="003973EE">
        <w:rPr>
          <w:bCs/>
          <w:sz w:val="24"/>
        </w:rPr>
        <w:t xml:space="preserve"> of the grant application requires applicants to describe the process that the applicant will use to verify that all participants and/or beneficiaries comply with the low-to-moderate income requirements.</w:t>
      </w:r>
    </w:p>
    <w:p w14:paraId="1E9E5BD6" w14:textId="77777777" w:rsidR="003973EE" w:rsidRPr="003973EE" w:rsidRDefault="003973EE" w:rsidP="003973EE">
      <w:pPr>
        <w:rPr>
          <w:b/>
          <w:bCs/>
          <w:sz w:val="24"/>
          <w:u w:val="single"/>
        </w:rPr>
      </w:pPr>
      <w:r w:rsidRPr="003973EE">
        <w:rPr>
          <w:b/>
          <w:bCs/>
          <w:sz w:val="24"/>
          <w:u w:val="single"/>
        </w:rPr>
        <w:t>Allowable Program Measures</w:t>
      </w:r>
    </w:p>
    <w:p w14:paraId="3C35D139" w14:textId="77777777" w:rsidR="003973EE" w:rsidRDefault="003973EE" w:rsidP="003973EE">
      <w:pPr>
        <w:rPr>
          <w:sz w:val="24"/>
        </w:rPr>
      </w:pPr>
      <w:r w:rsidRPr="003973EE">
        <w:rPr>
          <w:bCs/>
          <w:sz w:val="24"/>
        </w:rPr>
        <w:t xml:space="preserve">The majority of Funds must be used directly on energy efficiency measures, </w:t>
      </w:r>
      <w:r w:rsidRPr="003973EE">
        <w:rPr>
          <w:sz w:val="24"/>
        </w:rPr>
        <w:t>including the purchase and installation of machinery and/or equipment</w:t>
      </w:r>
      <w:r w:rsidRPr="003973EE">
        <w:rPr>
          <w:bCs/>
          <w:sz w:val="24"/>
        </w:rPr>
        <w:t xml:space="preserve">.  A limited amount of grant funding may be used for the </w:t>
      </w:r>
      <w:r w:rsidRPr="003973EE">
        <w:rPr>
          <w:sz w:val="24"/>
        </w:rPr>
        <w:t>costs of technical assessments, licenses, engineering, and/or training, only after written approval by MEA.</w:t>
      </w:r>
    </w:p>
    <w:p w14:paraId="1D88DE59" w14:textId="77777777" w:rsidR="00F70511" w:rsidRPr="003973EE" w:rsidRDefault="00F70511" w:rsidP="003973EE">
      <w:pPr>
        <w:rPr>
          <w:sz w:val="24"/>
        </w:rPr>
      </w:pPr>
    </w:p>
    <w:p w14:paraId="77A83F30" w14:textId="77777777" w:rsidR="003973EE" w:rsidRPr="003973EE" w:rsidRDefault="003973EE" w:rsidP="003973EE">
      <w:pPr>
        <w:rPr>
          <w:b/>
          <w:sz w:val="24"/>
          <w:u w:val="single"/>
        </w:rPr>
      </w:pPr>
      <w:r w:rsidRPr="003973EE">
        <w:rPr>
          <w:b/>
          <w:sz w:val="24"/>
          <w:u w:val="single"/>
        </w:rPr>
        <w:t>Program Restrictions &amp; Limitations</w:t>
      </w:r>
    </w:p>
    <w:p w14:paraId="0C8CF938" w14:textId="37B936B4" w:rsidR="003973EE" w:rsidRPr="003973EE" w:rsidRDefault="00242240" w:rsidP="003973EE">
      <w:pPr>
        <w:numPr>
          <w:ilvl w:val="0"/>
          <w:numId w:val="11"/>
        </w:numPr>
        <w:rPr>
          <w:sz w:val="24"/>
        </w:rPr>
      </w:pPr>
      <w:hyperlink r:id="rId10" w:history="1"/>
      <w:r w:rsidR="003973EE" w:rsidRPr="003973EE">
        <w:rPr>
          <w:sz w:val="24"/>
        </w:rPr>
        <w:t xml:space="preserve">All projects funded through the Program must comply with the 2015 International Energy </w:t>
      </w:r>
      <w:r w:rsidR="00B94C94">
        <w:rPr>
          <w:sz w:val="24"/>
        </w:rPr>
        <w:t>Conservation Code (IECC).</w:t>
      </w:r>
    </w:p>
    <w:p w14:paraId="174198A9" w14:textId="4F3B9FDB" w:rsidR="003973EE" w:rsidRPr="003973EE" w:rsidRDefault="003973EE" w:rsidP="003973EE">
      <w:pPr>
        <w:numPr>
          <w:ilvl w:val="0"/>
          <w:numId w:val="11"/>
        </w:numPr>
        <w:rPr>
          <w:sz w:val="24"/>
        </w:rPr>
      </w:pPr>
      <w:r w:rsidRPr="003973EE">
        <w:rPr>
          <w:sz w:val="24"/>
        </w:rPr>
        <w:t xml:space="preserve">For </w:t>
      </w:r>
      <w:r w:rsidRPr="003973EE">
        <w:rPr>
          <w:sz w:val="24"/>
          <w:u w:val="single"/>
        </w:rPr>
        <w:t>home energy retrofit projects</w:t>
      </w:r>
      <w:r w:rsidRPr="003973EE">
        <w:rPr>
          <w:sz w:val="24"/>
        </w:rPr>
        <w:t xml:space="preserve">, but for the HVAC exception noted below, no more than </w:t>
      </w:r>
      <w:r w:rsidRPr="003973EE">
        <w:rPr>
          <w:sz w:val="24"/>
          <w:u w:val="single"/>
        </w:rPr>
        <w:t>$7,000</w:t>
      </w:r>
      <w:r w:rsidRPr="003973EE">
        <w:rPr>
          <w:sz w:val="24"/>
        </w:rPr>
        <w:t xml:space="preserve"> per home energy retrofit is reimbursable under the Program. For home energy retrofits necessitating an HVAC upgrade, no more than </w:t>
      </w:r>
      <w:r w:rsidRPr="003973EE">
        <w:rPr>
          <w:sz w:val="24"/>
          <w:u w:val="single"/>
        </w:rPr>
        <w:t>$10,000</w:t>
      </w:r>
      <w:r w:rsidRPr="003973EE">
        <w:rPr>
          <w:sz w:val="24"/>
        </w:rPr>
        <w:t xml:space="preserve"> per home energy retrofit is reimbursable under the Program. Note that HVAC upgrades are not allowable in homes that have not been weatherized.</w:t>
      </w:r>
    </w:p>
    <w:p w14:paraId="4A8A5187" w14:textId="2270C0F1" w:rsidR="003973EE" w:rsidRPr="003973EE" w:rsidRDefault="003973EE" w:rsidP="003973EE">
      <w:pPr>
        <w:numPr>
          <w:ilvl w:val="1"/>
          <w:numId w:val="11"/>
        </w:numPr>
        <w:rPr>
          <w:sz w:val="24"/>
        </w:rPr>
      </w:pPr>
      <w:r w:rsidRPr="003973EE">
        <w:rPr>
          <w:sz w:val="24"/>
        </w:rPr>
        <w:t>For the purposes of this program, an unweatherized home is considered any home to which cost-saving energy efficiency measures could be applied, including air sealing, insulation, and building envelope improvements. For MEA to consider installation of HVAC equipment as part of this Program, applicants must provide proof of weatherization or propose weatherization as part of the retrofit project.</w:t>
      </w:r>
      <w:r w:rsidR="00836033">
        <w:rPr>
          <w:sz w:val="24"/>
        </w:rPr>
        <w:t xml:space="preserve"> Homes that have already been weatherized must have received weatherization measures </w:t>
      </w:r>
      <w:r w:rsidR="00836033">
        <w:rPr>
          <w:b/>
          <w:sz w:val="24"/>
        </w:rPr>
        <w:t>within the last five years</w:t>
      </w:r>
      <w:r w:rsidR="00AD4279" w:rsidRPr="00F33108">
        <w:rPr>
          <w:b/>
          <w:sz w:val="24"/>
        </w:rPr>
        <w:t xml:space="preserve"> to be eligible for an HVAC replacement</w:t>
      </w:r>
      <w:r w:rsidR="00836033">
        <w:rPr>
          <w:b/>
          <w:sz w:val="24"/>
        </w:rPr>
        <w:t>.</w:t>
      </w:r>
    </w:p>
    <w:p w14:paraId="3766827B" w14:textId="4D8DB1A9" w:rsidR="003973EE" w:rsidRPr="003973EE" w:rsidRDefault="003973EE" w:rsidP="003973EE">
      <w:pPr>
        <w:numPr>
          <w:ilvl w:val="0"/>
          <w:numId w:val="11"/>
        </w:numPr>
        <w:rPr>
          <w:sz w:val="24"/>
        </w:rPr>
      </w:pPr>
      <w:r w:rsidRPr="003973EE">
        <w:rPr>
          <w:sz w:val="24"/>
        </w:rPr>
        <w:t xml:space="preserve">For </w:t>
      </w:r>
      <w:r w:rsidRPr="003973EE">
        <w:rPr>
          <w:sz w:val="24"/>
          <w:u w:val="single"/>
        </w:rPr>
        <w:t>appliance replacements</w:t>
      </w:r>
      <w:r w:rsidRPr="003973EE">
        <w:rPr>
          <w:sz w:val="24"/>
        </w:rPr>
        <w:t xml:space="preserve">, only </w:t>
      </w:r>
      <w:r w:rsidR="00B87D58">
        <w:rPr>
          <w:sz w:val="24"/>
        </w:rPr>
        <w:t>ENERGY STAR</w:t>
      </w:r>
      <w:r w:rsidRPr="003973EE">
        <w:rPr>
          <w:sz w:val="24"/>
          <w:vertAlign w:val="superscript"/>
        </w:rPr>
        <w:t>TM</w:t>
      </w:r>
      <w:r w:rsidRPr="003973EE">
        <w:rPr>
          <w:sz w:val="24"/>
        </w:rPr>
        <w:t xml:space="preserve"> qualified appliances qualify under the Program.  MEA will not provide reimbursement for the replacement of any appliance for which the </w:t>
      </w:r>
      <w:r w:rsidR="00B87D58">
        <w:rPr>
          <w:sz w:val="24"/>
        </w:rPr>
        <w:t>ENERGY STAR</w:t>
      </w:r>
      <w:r w:rsidRPr="003973EE">
        <w:rPr>
          <w:sz w:val="24"/>
        </w:rPr>
        <w:t xml:space="preserve"> qualification is unavailable.  </w:t>
      </w:r>
    </w:p>
    <w:p w14:paraId="72A88BBC" w14:textId="30F3E874" w:rsidR="003973EE" w:rsidRPr="003973EE" w:rsidRDefault="003973EE" w:rsidP="003973EE">
      <w:pPr>
        <w:numPr>
          <w:ilvl w:val="1"/>
          <w:numId w:val="11"/>
        </w:numPr>
        <w:rPr>
          <w:sz w:val="24"/>
        </w:rPr>
      </w:pPr>
      <w:r w:rsidRPr="003973EE">
        <w:rPr>
          <w:sz w:val="24"/>
          <w:u w:val="single"/>
        </w:rPr>
        <w:t>Refrigerator replacements</w:t>
      </w:r>
      <w:r w:rsidRPr="003973EE">
        <w:rPr>
          <w:sz w:val="24"/>
        </w:rPr>
        <w:t xml:space="preserve"> -The maximum reimbursable cost per </w:t>
      </w:r>
      <w:r w:rsidR="00B87D58">
        <w:rPr>
          <w:sz w:val="24"/>
        </w:rPr>
        <w:t>ENERGY STAR</w:t>
      </w:r>
      <w:r w:rsidRPr="003973EE">
        <w:rPr>
          <w:sz w:val="24"/>
        </w:rPr>
        <w:t xml:space="preserve"> refrigerator is $800 under the Program.  </w:t>
      </w:r>
    </w:p>
    <w:p w14:paraId="4705B072" w14:textId="0FE1EAAD" w:rsidR="003973EE" w:rsidRPr="003973EE" w:rsidRDefault="003973EE" w:rsidP="003973EE">
      <w:pPr>
        <w:numPr>
          <w:ilvl w:val="1"/>
          <w:numId w:val="11"/>
        </w:numPr>
        <w:rPr>
          <w:sz w:val="24"/>
        </w:rPr>
      </w:pPr>
      <w:r w:rsidRPr="003973EE">
        <w:rPr>
          <w:sz w:val="24"/>
          <w:u w:val="single"/>
        </w:rPr>
        <w:t>Water heater replacements</w:t>
      </w:r>
      <w:r w:rsidRPr="003973EE">
        <w:rPr>
          <w:sz w:val="24"/>
        </w:rPr>
        <w:t xml:space="preserve"> - </w:t>
      </w:r>
      <w:r w:rsidR="00B87D58">
        <w:rPr>
          <w:sz w:val="24"/>
        </w:rPr>
        <w:t>ENERGY STAR</w:t>
      </w:r>
      <w:r w:rsidRPr="003973EE">
        <w:rPr>
          <w:sz w:val="24"/>
        </w:rPr>
        <w:t xml:space="preserve"> qualified heat pump water heaters and natural gas water heater replacements are eligible under the Program.  </w:t>
      </w:r>
      <w:r w:rsidR="00B87D58">
        <w:rPr>
          <w:sz w:val="24"/>
        </w:rPr>
        <w:t>ENERGY STAR</w:t>
      </w:r>
      <w:r w:rsidRPr="003973EE">
        <w:rPr>
          <w:sz w:val="24"/>
        </w:rPr>
        <w:t xml:space="preserve"> no longer qualifies electric tank water heaters and electric instantaneous water heaters. For this reason, electric tank water heater or electric instantaneous water heater replacements are not eligible under the Program.</w:t>
      </w:r>
    </w:p>
    <w:p w14:paraId="404ED6B6" w14:textId="77777777" w:rsidR="003973EE" w:rsidRPr="003973EE" w:rsidRDefault="003973EE" w:rsidP="003973EE">
      <w:pPr>
        <w:numPr>
          <w:ilvl w:val="0"/>
          <w:numId w:val="11"/>
        </w:numPr>
        <w:rPr>
          <w:sz w:val="24"/>
        </w:rPr>
      </w:pPr>
      <w:r w:rsidRPr="003973EE">
        <w:rPr>
          <w:sz w:val="24"/>
        </w:rPr>
        <w:t xml:space="preserve">For </w:t>
      </w:r>
      <w:r w:rsidRPr="003973EE">
        <w:rPr>
          <w:sz w:val="24"/>
          <w:u w:val="single"/>
        </w:rPr>
        <w:t>new construction projects</w:t>
      </w:r>
      <w:r w:rsidRPr="003973EE">
        <w:rPr>
          <w:sz w:val="24"/>
        </w:rPr>
        <w:t xml:space="preserve">, only the </w:t>
      </w:r>
      <w:r w:rsidRPr="003973EE">
        <w:rPr>
          <w:sz w:val="24"/>
          <w:u w:val="single"/>
        </w:rPr>
        <w:t>incremental</w:t>
      </w:r>
      <w:r w:rsidRPr="003973EE">
        <w:rPr>
          <w:sz w:val="24"/>
        </w:rPr>
        <w:t xml:space="preserve"> purchase cost of upgrading to a higher level of energy efficiency is reimbursable under the Program. For example, MEA will cover the cost of upgrading from a baseline efficiency heat pump (SEER 13) to a higher efficiency heat pump (SEER 14.5+).  MEA will </w:t>
      </w:r>
      <w:r w:rsidRPr="003973EE">
        <w:rPr>
          <w:sz w:val="24"/>
          <w:u w:val="single"/>
        </w:rPr>
        <w:t>not</w:t>
      </w:r>
      <w:r w:rsidRPr="003973EE">
        <w:rPr>
          <w:sz w:val="24"/>
        </w:rPr>
        <w:t xml:space="preserve"> cover the cost of installing energy efficiency measures in new construction projects unless the Grantee can explain why the cost of installing the energy efficiency measure is more expensive than the costs of installing a baseline efficiency measure. Applications for a new construction project should include cost estimates for both the energy efficient technology and the baseline efficiency technology.  </w:t>
      </w:r>
    </w:p>
    <w:p w14:paraId="2B8FE108" w14:textId="77777777" w:rsidR="003973EE" w:rsidRPr="003973EE" w:rsidRDefault="003973EE" w:rsidP="003973EE">
      <w:pPr>
        <w:numPr>
          <w:ilvl w:val="0"/>
          <w:numId w:val="11"/>
        </w:numPr>
        <w:rPr>
          <w:sz w:val="24"/>
        </w:rPr>
      </w:pPr>
      <w:r w:rsidRPr="003973EE">
        <w:rPr>
          <w:sz w:val="24"/>
        </w:rPr>
        <w:t>For residentially metered buildings, Grantees should develop projects whose energy conservation measures (ECMs), in aggregate, have a simple payback that is less than 10 years. For commercially metered buildings, Grantees should develop projects with ECMs that, in aggregate, have a simple payback less than 15 years. When a single measure is proposed, it should have a simple payback that is less than the anticipated equipment life.</w:t>
      </w:r>
    </w:p>
    <w:p w14:paraId="49B8AC60" w14:textId="3DA30789" w:rsidR="003973EE" w:rsidRPr="003973EE" w:rsidRDefault="003973EE" w:rsidP="009C4B7A">
      <w:pPr>
        <w:numPr>
          <w:ilvl w:val="0"/>
          <w:numId w:val="11"/>
        </w:numPr>
        <w:rPr>
          <w:bCs/>
          <w:sz w:val="24"/>
        </w:rPr>
      </w:pPr>
      <w:r w:rsidRPr="003973EE">
        <w:rPr>
          <w:bCs/>
          <w:sz w:val="24"/>
        </w:rPr>
        <w:lastRenderedPageBreak/>
        <w:t>The Maryland Strategic Energy Investment Fund (SEIF) Act specifies that low income residents cannot be charged for participation in any program that receives SEIF funding, including any projects receiving grant funds through the Program.</w:t>
      </w:r>
    </w:p>
    <w:p w14:paraId="4CB9A8C1" w14:textId="77777777" w:rsidR="003973EE" w:rsidRPr="003973EE" w:rsidRDefault="003973EE" w:rsidP="003973EE">
      <w:pPr>
        <w:numPr>
          <w:ilvl w:val="0"/>
          <w:numId w:val="27"/>
        </w:numPr>
        <w:rPr>
          <w:sz w:val="24"/>
        </w:rPr>
      </w:pPr>
      <w:r w:rsidRPr="009C0CB4">
        <w:rPr>
          <w:b/>
          <w:sz w:val="24"/>
        </w:rPr>
        <w:t>Renewable energy technologies</w:t>
      </w:r>
      <w:r w:rsidRPr="00836033">
        <w:rPr>
          <w:b/>
          <w:sz w:val="24"/>
        </w:rPr>
        <w:t xml:space="preserve"> are not eligible for the Program.</w:t>
      </w:r>
      <w:r w:rsidRPr="003973EE">
        <w:rPr>
          <w:sz w:val="24"/>
        </w:rPr>
        <w:t xml:space="preserve">  See the MEA website for information on programs that provide </w:t>
      </w:r>
      <w:hyperlink r:id="rId11" w:history="1">
        <w:r w:rsidRPr="003973EE">
          <w:rPr>
            <w:rStyle w:val="Hyperlink"/>
            <w:sz w:val="24"/>
          </w:rPr>
          <w:t>commercial</w:t>
        </w:r>
      </w:hyperlink>
      <w:r w:rsidRPr="003973EE">
        <w:rPr>
          <w:sz w:val="24"/>
        </w:rPr>
        <w:t xml:space="preserve">  and </w:t>
      </w:r>
      <w:hyperlink r:id="rId12" w:history="1">
        <w:r w:rsidRPr="003973EE">
          <w:rPr>
            <w:rStyle w:val="Hyperlink"/>
            <w:sz w:val="24"/>
          </w:rPr>
          <w:t>residential</w:t>
        </w:r>
      </w:hyperlink>
      <w:r w:rsidRPr="003973EE">
        <w:rPr>
          <w:sz w:val="24"/>
        </w:rPr>
        <w:t xml:space="preserve"> renewable energy incentives. </w:t>
      </w:r>
    </w:p>
    <w:p w14:paraId="098BD1B4" w14:textId="77777777" w:rsidR="003973EE" w:rsidRPr="003973EE" w:rsidRDefault="003973EE" w:rsidP="003973EE">
      <w:pPr>
        <w:numPr>
          <w:ilvl w:val="0"/>
          <w:numId w:val="11"/>
        </w:numPr>
        <w:rPr>
          <w:sz w:val="24"/>
        </w:rPr>
      </w:pPr>
      <w:r w:rsidRPr="003973EE">
        <w:rPr>
          <w:sz w:val="24"/>
        </w:rPr>
        <w:t xml:space="preserve">MEA will consider fuel switching only if it can be shown to be cost effective and will result in energy savings. </w:t>
      </w:r>
    </w:p>
    <w:p w14:paraId="53F894D8" w14:textId="77777777" w:rsidR="003973EE" w:rsidRPr="003973EE" w:rsidRDefault="003973EE" w:rsidP="003973EE">
      <w:pPr>
        <w:numPr>
          <w:ilvl w:val="0"/>
          <w:numId w:val="11"/>
        </w:numPr>
        <w:rPr>
          <w:sz w:val="24"/>
        </w:rPr>
      </w:pPr>
      <w:r w:rsidRPr="003973EE">
        <w:rPr>
          <w:sz w:val="24"/>
        </w:rPr>
        <w:t xml:space="preserve">MEA encourages all applicants to focus on residential households that are </w:t>
      </w:r>
      <w:r w:rsidRPr="003973EE">
        <w:rPr>
          <w:sz w:val="24"/>
          <w:u w:val="single"/>
        </w:rPr>
        <w:t>ineligible</w:t>
      </w:r>
      <w:r w:rsidRPr="003973EE">
        <w:rPr>
          <w:sz w:val="24"/>
        </w:rPr>
        <w:t xml:space="preserve"> for assistance through the Weatherization Assistance Program (WAP) or the EmPOWER Maryland Low Income Energy Efficiency Program (LIEEP) run by the Department of Housing and Community Development (DHCD).</w:t>
      </w:r>
    </w:p>
    <w:p w14:paraId="027313FD" w14:textId="77777777" w:rsidR="003973EE" w:rsidRPr="003973EE" w:rsidRDefault="003973EE" w:rsidP="003973EE">
      <w:pPr>
        <w:rPr>
          <w:b/>
          <w:bCs/>
          <w:sz w:val="24"/>
          <w:u w:val="single"/>
        </w:rPr>
      </w:pPr>
      <w:r w:rsidRPr="003973EE">
        <w:rPr>
          <w:b/>
          <w:bCs/>
          <w:sz w:val="24"/>
          <w:u w:val="single"/>
        </w:rPr>
        <w:t>Administrative Costs</w:t>
      </w:r>
    </w:p>
    <w:p w14:paraId="13D28B82" w14:textId="446807FA" w:rsidR="003973EE" w:rsidRPr="003973EE" w:rsidRDefault="003973EE" w:rsidP="003973EE">
      <w:pPr>
        <w:rPr>
          <w:sz w:val="24"/>
        </w:rPr>
      </w:pPr>
      <w:r w:rsidRPr="003973EE">
        <w:rPr>
          <w:bCs/>
          <w:sz w:val="24"/>
          <w:u w:val="single"/>
        </w:rPr>
        <w:t xml:space="preserve">Administrative costs </w:t>
      </w:r>
      <w:r w:rsidRPr="003973EE">
        <w:rPr>
          <w:sz w:val="24"/>
          <w:u w:val="single"/>
        </w:rPr>
        <w:t>are capped at a maximum of 10% of the grant award</w:t>
      </w:r>
      <w:r w:rsidRPr="003973EE">
        <w:rPr>
          <w:sz w:val="24"/>
        </w:rPr>
        <w:t xml:space="preserve">. MEA defines administrative costs to be non-energy related costs required to execute a proposed energy project (e.g., financial staff). If an applicant plans to request administrative costs, the amount of the administrative funds requested must be clearly indicated, with supporting documentation, in </w:t>
      </w:r>
      <w:r w:rsidRPr="003973EE">
        <w:rPr>
          <w:i/>
          <w:sz w:val="24"/>
        </w:rPr>
        <w:t xml:space="preserve">Section </w:t>
      </w:r>
      <w:r w:rsidR="00836033">
        <w:rPr>
          <w:i/>
          <w:sz w:val="24"/>
        </w:rPr>
        <w:t>19</w:t>
      </w:r>
      <w:r w:rsidRPr="003973EE">
        <w:rPr>
          <w:i/>
          <w:sz w:val="24"/>
        </w:rPr>
        <w:t>: Cost Breakdown</w:t>
      </w:r>
      <w:r w:rsidR="00AD4279" w:rsidRPr="00F33108">
        <w:rPr>
          <w:i/>
          <w:sz w:val="24"/>
        </w:rPr>
        <w:t xml:space="preserve"> </w:t>
      </w:r>
      <w:r w:rsidR="00AD4279" w:rsidRPr="00AD4279">
        <w:rPr>
          <w:sz w:val="24"/>
        </w:rPr>
        <w:t xml:space="preserve">and </w:t>
      </w:r>
      <w:r w:rsidR="00AD4279">
        <w:rPr>
          <w:i/>
          <w:sz w:val="24"/>
        </w:rPr>
        <w:t xml:space="preserve">Section 20: </w:t>
      </w:r>
      <w:r w:rsidR="00AD4279" w:rsidRPr="00AD4279">
        <w:rPr>
          <w:i/>
          <w:sz w:val="24"/>
        </w:rPr>
        <w:t>Administrative Costs</w:t>
      </w:r>
      <w:r w:rsidRPr="003973EE">
        <w:rPr>
          <w:sz w:val="24"/>
        </w:rPr>
        <w:t xml:space="preserve"> of the Program application. </w:t>
      </w:r>
    </w:p>
    <w:p w14:paraId="0F3EAF5B" w14:textId="77777777" w:rsidR="003973EE" w:rsidRPr="003973EE" w:rsidRDefault="003973EE" w:rsidP="003973EE">
      <w:pPr>
        <w:rPr>
          <w:b/>
          <w:bCs/>
          <w:sz w:val="24"/>
          <w:u w:val="single"/>
        </w:rPr>
      </w:pPr>
      <w:r w:rsidRPr="003973EE">
        <w:rPr>
          <w:b/>
          <w:bCs/>
          <w:sz w:val="24"/>
          <w:u w:val="single"/>
        </w:rPr>
        <w:t>Health and Safety Repairs</w:t>
      </w:r>
    </w:p>
    <w:p w14:paraId="25297CE3" w14:textId="77777777" w:rsidR="000145BA" w:rsidRDefault="003973EE" w:rsidP="003973EE">
      <w:pPr>
        <w:rPr>
          <w:bCs/>
          <w:sz w:val="24"/>
        </w:rPr>
      </w:pPr>
      <w:r w:rsidRPr="003973EE">
        <w:rPr>
          <w:bCs/>
          <w:sz w:val="24"/>
        </w:rPr>
        <w:t xml:space="preserve">For projects involving whole home </w:t>
      </w:r>
      <w:r w:rsidR="00B94C94">
        <w:rPr>
          <w:bCs/>
          <w:sz w:val="24"/>
        </w:rPr>
        <w:t xml:space="preserve">(or whole building, for commercial projects) </w:t>
      </w:r>
      <w:r w:rsidRPr="003973EE">
        <w:rPr>
          <w:bCs/>
          <w:sz w:val="24"/>
        </w:rPr>
        <w:t>energy retrofits (</w:t>
      </w:r>
      <w:r w:rsidR="00B94C94">
        <w:rPr>
          <w:bCs/>
          <w:sz w:val="24"/>
        </w:rPr>
        <w:t>referred to as Whole Home or Whole Building upgrades for the purposes of this Program</w:t>
      </w:r>
      <w:r w:rsidRPr="003973EE">
        <w:rPr>
          <w:bCs/>
          <w:sz w:val="24"/>
        </w:rPr>
        <w:t>), non-energy related health and safety repairs that enable energy efficiency upgrades are capped at $1,</w:t>
      </w:r>
      <w:r w:rsidR="00836033">
        <w:rPr>
          <w:bCs/>
          <w:sz w:val="24"/>
        </w:rPr>
        <w:t>5</w:t>
      </w:r>
      <w:r w:rsidRPr="003973EE">
        <w:rPr>
          <w:bCs/>
          <w:sz w:val="24"/>
        </w:rPr>
        <w:t>00 per home. For the purposes of this Program, MEA defines a home as a residential unit that operates with independent systems, including its own HVAC system and kitchen and bath facilities. The cost of the health and safety repairs must be included in the $7,000 per home maximum budget (or $10,000 per home maximum budget for any home receiving an HVAC upgrade). For commercial buildings in which kitchen and bath facilities are shared among multiple residents, non-energy related health and safety repairs are also capped at $1,</w:t>
      </w:r>
      <w:r w:rsidR="00836033">
        <w:rPr>
          <w:bCs/>
          <w:sz w:val="24"/>
        </w:rPr>
        <w:t>5</w:t>
      </w:r>
      <w:r w:rsidRPr="003973EE">
        <w:rPr>
          <w:bCs/>
          <w:sz w:val="24"/>
        </w:rPr>
        <w:t>00 per building.</w:t>
      </w:r>
      <w:r w:rsidR="00B94C94">
        <w:rPr>
          <w:bCs/>
          <w:sz w:val="24"/>
        </w:rPr>
        <w:t xml:space="preserve"> </w:t>
      </w:r>
    </w:p>
    <w:p w14:paraId="72D9F838" w14:textId="353538AC" w:rsidR="003973EE" w:rsidRDefault="00B94C94" w:rsidP="003973EE">
      <w:pPr>
        <w:rPr>
          <w:bCs/>
          <w:sz w:val="24"/>
        </w:rPr>
      </w:pPr>
      <w:r w:rsidRPr="00F33108">
        <w:rPr>
          <w:i/>
          <w:sz w:val="24"/>
        </w:rPr>
        <w:t>Health and safety measures can only receive LMI Program funding if they are necessary for the installation of energy efficiency and weatherization measures.</w:t>
      </w:r>
      <w:r w:rsidRPr="009C0CB4">
        <w:rPr>
          <w:bCs/>
          <w:sz w:val="24"/>
        </w:rPr>
        <w:t xml:space="preserve"> Grantees should pursue other sources of funding for health and safety repairs if the cost of those repairs exceeds the $1,500 per home/building cap.</w:t>
      </w:r>
      <w:r w:rsidRPr="00F33108">
        <w:rPr>
          <w:sz w:val="24"/>
          <w:u w:val="single"/>
        </w:rPr>
        <w:t xml:space="preserve"> </w:t>
      </w:r>
      <w:r w:rsidR="003973EE" w:rsidRPr="003973EE">
        <w:rPr>
          <w:bCs/>
          <w:sz w:val="24"/>
        </w:rPr>
        <w:t xml:space="preserve"> </w:t>
      </w:r>
    </w:p>
    <w:p w14:paraId="0848914E" w14:textId="77777777" w:rsidR="00433DFA" w:rsidRDefault="00433DFA" w:rsidP="00433DFA">
      <w:pPr>
        <w:spacing w:after="0"/>
        <w:rPr>
          <w:bCs/>
          <w:sz w:val="24"/>
        </w:rPr>
      </w:pPr>
    </w:p>
    <w:tbl>
      <w:tblPr>
        <w:tblStyle w:val="TableGrid"/>
        <w:tblW w:w="0" w:type="auto"/>
        <w:tblLook w:val="04A0" w:firstRow="1" w:lastRow="0" w:firstColumn="1" w:lastColumn="0" w:noHBand="0" w:noVBand="1"/>
      </w:tblPr>
      <w:tblGrid>
        <w:gridCol w:w="10790"/>
      </w:tblGrid>
      <w:tr w:rsidR="004C1F2A" w14:paraId="4E8D7C0D" w14:textId="77777777" w:rsidTr="00406009">
        <w:tc>
          <w:tcPr>
            <w:tcW w:w="11016" w:type="dxa"/>
            <w:shd w:val="clear" w:color="auto" w:fill="DEEAF6" w:themeFill="accent1" w:themeFillTint="33"/>
          </w:tcPr>
          <w:p w14:paraId="001C08E2" w14:textId="6BC74B0B" w:rsidR="004C1F2A" w:rsidRPr="00802107" w:rsidRDefault="004C1F2A" w:rsidP="004C1F2A">
            <w:pPr>
              <w:rPr>
                <w:b/>
                <w:bCs/>
                <w:sz w:val="24"/>
              </w:rPr>
            </w:pPr>
            <w:bookmarkStart w:id="3" w:name="Preparing"/>
            <w:r>
              <w:rPr>
                <w:b/>
                <w:bCs/>
                <w:sz w:val="24"/>
              </w:rPr>
              <w:t>PREPARING A COMPETITIVE APPLICATION</w:t>
            </w:r>
            <w:bookmarkEnd w:id="3"/>
          </w:p>
        </w:tc>
      </w:tr>
    </w:tbl>
    <w:p w14:paraId="2F146518" w14:textId="77777777" w:rsidR="003973EE" w:rsidRPr="003973EE" w:rsidRDefault="003973EE" w:rsidP="00F33108">
      <w:pPr>
        <w:spacing w:before="120"/>
        <w:rPr>
          <w:b/>
          <w:bCs/>
          <w:sz w:val="24"/>
          <w:u w:val="single"/>
        </w:rPr>
      </w:pPr>
      <w:r w:rsidRPr="003973EE">
        <w:rPr>
          <w:b/>
          <w:bCs/>
          <w:sz w:val="24"/>
          <w:u w:val="single"/>
        </w:rPr>
        <w:t>Grant Evaluation Criteria</w:t>
      </w:r>
    </w:p>
    <w:p w14:paraId="3C772129" w14:textId="50FF10F8" w:rsidR="003973EE" w:rsidRPr="003973EE" w:rsidRDefault="003973EE" w:rsidP="003973EE">
      <w:pPr>
        <w:rPr>
          <w:bCs/>
          <w:sz w:val="24"/>
        </w:rPr>
      </w:pPr>
      <w:r w:rsidRPr="003973EE">
        <w:rPr>
          <w:bCs/>
          <w:sz w:val="24"/>
        </w:rPr>
        <w:t xml:space="preserve">For each </w:t>
      </w:r>
      <w:r w:rsidR="003C0FC0">
        <w:rPr>
          <w:bCs/>
          <w:sz w:val="24"/>
        </w:rPr>
        <w:t>county</w:t>
      </w:r>
      <w:r w:rsidRPr="003973EE">
        <w:rPr>
          <w:bCs/>
          <w:sz w:val="24"/>
        </w:rPr>
        <w:t xml:space="preserve">, MEA will evaluate applications using four primary criteria:  </w:t>
      </w:r>
    </w:p>
    <w:p w14:paraId="413FFAC2" w14:textId="77777777" w:rsidR="003973EE" w:rsidRPr="003973EE" w:rsidRDefault="003973EE" w:rsidP="003973EE">
      <w:pPr>
        <w:numPr>
          <w:ilvl w:val="0"/>
          <w:numId w:val="12"/>
        </w:numPr>
        <w:rPr>
          <w:bCs/>
          <w:sz w:val="24"/>
        </w:rPr>
      </w:pPr>
      <w:r w:rsidRPr="003973EE">
        <w:rPr>
          <w:b/>
          <w:bCs/>
          <w:sz w:val="24"/>
        </w:rPr>
        <w:t>Annual energy savings per dollar of MEA investment</w:t>
      </w:r>
      <w:r w:rsidRPr="003973EE">
        <w:rPr>
          <w:bCs/>
          <w:sz w:val="24"/>
        </w:rPr>
        <w:t xml:space="preserve">. MEA is looking for projects that maximize potential electricity savings. (While other kinds of energy savings can increase an application’s competitiveness, they are not as critical to the application’s standing as estimated electricity savings.) </w:t>
      </w:r>
      <w:r w:rsidRPr="003973EE">
        <w:rPr>
          <w:bCs/>
          <w:sz w:val="24"/>
        </w:rPr>
        <w:lastRenderedPageBreak/>
        <w:t>If an applicant can access matching funds, the ratio of energy savings to dollar of MEA investment will improve.</w:t>
      </w:r>
    </w:p>
    <w:p w14:paraId="4E83CEA6" w14:textId="6023BFA3" w:rsidR="003973EE" w:rsidRPr="003973EE" w:rsidRDefault="003973EE" w:rsidP="003973EE">
      <w:pPr>
        <w:numPr>
          <w:ilvl w:val="0"/>
          <w:numId w:val="12"/>
        </w:numPr>
        <w:rPr>
          <w:bCs/>
          <w:sz w:val="24"/>
        </w:rPr>
      </w:pPr>
      <w:r w:rsidRPr="003973EE">
        <w:rPr>
          <w:b/>
          <w:bCs/>
          <w:sz w:val="24"/>
        </w:rPr>
        <w:t>Impact on Maryland’s low-to-moderate income residents</w:t>
      </w:r>
      <w:r w:rsidRPr="003973EE">
        <w:rPr>
          <w:bCs/>
          <w:sz w:val="24"/>
        </w:rPr>
        <w:t>. MEA is looking for projects that maximize the number of low-to-moderate income residents that can be served with Program grant funding. MEA will evaluate this metric based on the number of low-to-modera</w:t>
      </w:r>
      <w:r w:rsidR="00836033">
        <w:rPr>
          <w:bCs/>
          <w:sz w:val="24"/>
        </w:rPr>
        <w:t>te income individuals</w:t>
      </w:r>
      <w:r w:rsidRPr="003973EE">
        <w:rPr>
          <w:bCs/>
          <w:sz w:val="24"/>
        </w:rPr>
        <w:t xml:space="preserve"> that will benefit from Funds </w:t>
      </w:r>
      <w:r w:rsidRPr="003973EE">
        <w:rPr>
          <w:bCs/>
          <w:sz w:val="24"/>
          <w:u w:val="single"/>
        </w:rPr>
        <w:t xml:space="preserve">over a </w:t>
      </w:r>
      <w:r w:rsidR="005858F5" w:rsidRPr="003973EE">
        <w:rPr>
          <w:bCs/>
          <w:sz w:val="24"/>
          <w:u w:val="single"/>
        </w:rPr>
        <w:t>15-year</w:t>
      </w:r>
      <w:r w:rsidRPr="003973EE">
        <w:rPr>
          <w:bCs/>
          <w:sz w:val="24"/>
          <w:u w:val="single"/>
        </w:rPr>
        <w:t xml:space="preserve"> period</w:t>
      </w:r>
      <w:r w:rsidRPr="003973EE">
        <w:rPr>
          <w:bCs/>
          <w:sz w:val="24"/>
        </w:rPr>
        <w:t>, the standard life of many energy measures.</w:t>
      </w:r>
      <w:r w:rsidR="00836033">
        <w:rPr>
          <w:bCs/>
          <w:sz w:val="24"/>
        </w:rPr>
        <w:t xml:space="preserve"> MEA looks at two housing categories</w:t>
      </w:r>
      <w:r w:rsidR="003C0FC0">
        <w:rPr>
          <w:bCs/>
          <w:sz w:val="24"/>
        </w:rPr>
        <w:t>:</w:t>
      </w:r>
      <w:r w:rsidR="00836033">
        <w:rPr>
          <w:bCs/>
          <w:sz w:val="24"/>
        </w:rPr>
        <w:t xml:space="preserve"> </w:t>
      </w:r>
      <w:r w:rsidR="00B94C94">
        <w:rPr>
          <w:bCs/>
          <w:sz w:val="24"/>
        </w:rPr>
        <w:t>temporary</w:t>
      </w:r>
      <w:r w:rsidR="00836033">
        <w:rPr>
          <w:bCs/>
          <w:sz w:val="24"/>
        </w:rPr>
        <w:t xml:space="preserve"> housing (high</w:t>
      </w:r>
      <w:r w:rsidR="00406009">
        <w:rPr>
          <w:bCs/>
          <w:sz w:val="24"/>
        </w:rPr>
        <w:t>er</w:t>
      </w:r>
      <w:r w:rsidR="00836033">
        <w:rPr>
          <w:bCs/>
          <w:sz w:val="24"/>
        </w:rPr>
        <w:t xml:space="preserve"> turnover with a low</w:t>
      </w:r>
      <w:r w:rsidR="00406009">
        <w:rPr>
          <w:bCs/>
          <w:sz w:val="24"/>
        </w:rPr>
        <w:t>er</w:t>
      </w:r>
      <w:r w:rsidR="00836033">
        <w:rPr>
          <w:bCs/>
          <w:sz w:val="24"/>
        </w:rPr>
        <w:t xml:space="preserve"> length of residence, such as </w:t>
      </w:r>
      <w:r w:rsidR="000D3D63">
        <w:rPr>
          <w:bCs/>
          <w:sz w:val="24"/>
        </w:rPr>
        <w:t>a homeless</w:t>
      </w:r>
      <w:r w:rsidR="00836033">
        <w:rPr>
          <w:bCs/>
          <w:sz w:val="24"/>
        </w:rPr>
        <w:t xml:space="preserve"> shelter) and permanent ho</w:t>
      </w:r>
      <w:r w:rsidR="00AD4279">
        <w:rPr>
          <w:bCs/>
          <w:sz w:val="24"/>
        </w:rPr>
        <w:t>using (</w:t>
      </w:r>
      <w:r w:rsidR="000D3D63">
        <w:rPr>
          <w:bCs/>
          <w:sz w:val="24"/>
        </w:rPr>
        <w:t>e.g., a purchased home</w:t>
      </w:r>
      <w:r w:rsidR="00836033">
        <w:rPr>
          <w:bCs/>
          <w:sz w:val="24"/>
        </w:rPr>
        <w:t>).</w:t>
      </w:r>
    </w:p>
    <w:p w14:paraId="319B9EE8" w14:textId="4DA4F7FA" w:rsidR="00836033" w:rsidRPr="00F70511" w:rsidRDefault="003973EE" w:rsidP="00836033">
      <w:pPr>
        <w:ind w:left="720"/>
        <w:rPr>
          <w:bCs/>
          <w:sz w:val="24"/>
        </w:rPr>
      </w:pPr>
      <w:r w:rsidRPr="00433DFA">
        <w:rPr>
          <w:b/>
          <w:bCs/>
          <w:sz w:val="24"/>
        </w:rPr>
        <w:t>Formula</w:t>
      </w:r>
      <w:r w:rsidR="00836033" w:rsidRPr="00433DFA">
        <w:rPr>
          <w:b/>
          <w:bCs/>
          <w:sz w:val="24"/>
        </w:rPr>
        <w:t xml:space="preserve"> for </w:t>
      </w:r>
      <w:r w:rsidR="00B94C94" w:rsidRPr="00433DFA">
        <w:rPr>
          <w:b/>
          <w:bCs/>
          <w:sz w:val="24"/>
        </w:rPr>
        <w:t>Temporary</w:t>
      </w:r>
      <w:r w:rsidR="00836033" w:rsidRPr="00433DFA">
        <w:rPr>
          <w:b/>
          <w:bCs/>
          <w:sz w:val="24"/>
        </w:rPr>
        <w:t xml:space="preserve"> Housing:    </w:t>
      </w:r>
      <m:oMath>
        <m:r>
          <w:rPr>
            <w:rFonts w:ascii="Cambria Math" w:hAnsi="Cambria Math"/>
            <w:sz w:val="24"/>
          </w:rPr>
          <m:t xml:space="preserve"># of homes/units × </m:t>
        </m:r>
        <m:f>
          <m:fPr>
            <m:ctrlPr>
              <w:rPr>
                <w:rFonts w:ascii="Cambria Math" w:hAnsi="Cambria Math"/>
                <w:bCs/>
                <w:i/>
                <w:sz w:val="24"/>
              </w:rPr>
            </m:ctrlPr>
          </m:fPr>
          <m:num>
            <m:r>
              <w:rPr>
                <w:rFonts w:ascii="Cambria Math" w:hAnsi="Cambria Math"/>
                <w:sz w:val="24"/>
              </w:rPr>
              <m:t># of LMI individuals per home</m:t>
            </m:r>
          </m:num>
          <m:den>
            <m:r>
              <w:rPr>
                <w:rFonts w:ascii="Cambria Math" w:hAnsi="Cambria Math"/>
                <w:sz w:val="24"/>
              </w:rPr>
              <m:t xml:space="preserve">years in home </m:t>
            </m:r>
            <m:d>
              <m:dPr>
                <m:ctrlPr>
                  <w:rPr>
                    <w:rFonts w:ascii="Cambria Math" w:hAnsi="Cambria Math"/>
                    <w:bCs/>
                    <w:i/>
                    <w:sz w:val="24"/>
                  </w:rPr>
                </m:ctrlPr>
              </m:dPr>
              <m:e>
                <m:r>
                  <w:rPr>
                    <w:rFonts w:ascii="Cambria Math" w:hAnsi="Cambria Math"/>
                    <w:sz w:val="24"/>
                  </w:rPr>
                  <m:t>must be &lt; 15 years</m:t>
                </m:r>
              </m:e>
            </m:d>
          </m:den>
        </m:f>
        <m:r>
          <w:rPr>
            <w:rFonts w:ascii="Cambria Math" w:hAnsi="Cambria Math"/>
            <w:sz w:val="24"/>
          </w:rPr>
          <m:t xml:space="preserve"> ×15 years</m:t>
        </m:r>
      </m:oMath>
    </w:p>
    <w:p w14:paraId="3A2BF3A3" w14:textId="1EDB3F6F" w:rsidR="00836033" w:rsidRPr="00433DFA" w:rsidRDefault="00836033" w:rsidP="003973EE">
      <w:pPr>
        <w:rPr>
          <w:b/>
          <w:bCs/>
          <w:sz w:val="24"/>
        </w:rPr>
      </w:pPr>
      <w:r w:rsidRPr="00433DFA">
        <w:rPr>
          <w:bCs/>
          <w:sz w:val="24"/>
        </w:rPr>
        <w:tab/>
      </w:r>
      <w:r w:rsidR="00AD4279">
        <w:rPr>
          <w:b/>
          <w:bCs/>
          <w:sz w:val="24"/>
        </w:rPr>
        <w:t>Formula for Permanent Housing</w:t>
      </w:r>
      <w:r w:rsidR="00D44F7F" w:rsidRPr="00433DFA">
        <w:rPr>
          <w:b/>
          <w:bCs/>
          <w:sz w:val="24"/>
        </w:rPr>
        <w:t>:</w:t>
      </w:r>
    </w:p>
    <w:p w14:paraId="432E8763" w14:textId="6756F2C6" w:rsidR="00836033" w:rsidRPr="00F33108" w:rsidRDefault="00836033" w:rsidP="00F33108">
      <w:pPr>
        <w:ind w:firstLine="720"/>
        <w:rPr>
          <w:sz w:val="24"/>
          <w:u w:val="single"/>
        </w:rPr>
      </w:pPr>
      <w:r>
        <w:rPr>
          <w:b/>
          <w:bCs/>
          <w:sz w:val="24"/>
        </w:rPr>
        <w:t xml:space="preserve"> </w:t>
      </w:r>
      <m:oMath>
        <m:r>
          <w:rPr>
            <w:rFonts w:ascii="Cambria Math" w:hAnsi="Cambria Math"/>
            <w:sz w:val="24"/>
          </w:rPr>
          <m:t xml:space="preserve"># of homes/units × </m:t>
        </m:r>
        <m:f>
          <m:fPr>
            <m:ctrlPr>
              <w:rPr>
                <w:rFonts w:ascii="Cambria Math" w:hAnsi="Cambria Math"/>
                <w:bCs/>
                <w:i/>
                <w:sz w:val="24"/>
              </w:rPr>
            </m:ctrlPr>
          </m:fPr>
          <m:num>
            <m:r>
              <w:rPr>
                <w:rFonts w:ascii="Cambria Math" w:hAnsi="Cambria Math"/>
                <w:sz w:val="24"/>
              </w:rPr>
              <m:t># of LMI individuals per home</m:t>
            </m:r>
          </m:num>
          <m:den>
            <m:r>
              <w:rPr>
                <w:rFonts w:ascii="Cambria Math" w:hAnsi="Cambria Math"/>
                <w:sz w:val="24"/>
              </w:rPr>
              <m:t>years in home</m:t>
            </m:r>
          </m:den>
        </m:f>
        <m:r>
          <w:rPr>
            <w:rFonts w:ascii="Cambria Math" w:hAnsi="Cambria Math"/>
            <w:sz w:val="24"/>
          </w:rPr>
          <m:t xml:space="preserve"> ×15 years</m:t>
        </m:r>
      </m:oMath>
    </w:p>
    <w:p w14:paraId="6B0CAC44" w14:textId="3D60D8DF" w:rsidR="003973EE" w:rsidRDefault="003973EE" w:rsidP="00F33108">
      <w:pPr>
        <w:rPr>
          <w:bCs/>
          <w:sz w:val="24"/>
        </w:rPr>
      </w:pPr>
      <w:r w:rsidRPr="003973EE">
        <w:rPr>
          <w:bCs/>
          <w:sz w:val="24"/>
        </w:rPr>
        <w:tab/>
      </w:r>
      <w:r w:rsidRPr="003973EE">
        <w:rPr>
          <w:bCs/>
          <w:sz w:val="24"/>
          <w:u w:val="single"/>
        </w:rPr>
        <w:t>For example</w:t>
      </w:r>
      <w:r w:rsidRPr="003973EE">
        <w:rPr>
          <w:bCs/>
          <w:sz w:val="24"/>
        </w:rPr>
        <w:t>:</w:t>
      </w:r>
    </w:p>
    <w:p w14:paraId="476CC145" w14:textId="345CB7DD" w:rsidR="00D44F7F" w:rsidRDefault="00D44F7F" w:rsidP="00D44F7F">
      <w:pPr>
        <w:ind w:left="720" w:hanging="720"/>
        <w:rPr>
          <w:bCs/>
          <w:sz w:val="24"/>
        </w:rPr>
      </w:pPr>
      <w:r>
        <w:rPr>
          <w:bCs/>
          <w:sz w:val="24"/>
        </w:rPr>
        <w:tab/>
        <w:t>A Grantee has developed a project that consists of providing Whole Home Upgrades to a homeless shelter with 3 units that house up to 5 ind</w:t>
      </w:r>
      <w:r w:rsidR="00B10069">
        <w:rPr>
          <w:bCs/>
          <w:sz w:val="24"/>
        </w:rPr>
        <w:t>ividuals, with each individual</w:t>
      </w:r>
      <w:r>
        <w:rPr>
          <w:bCs/>
          <w:sz w:val="24"/>
        </w:rPr>
        <w:t xml:space="preserve"> stay</w:t>
      </w:r>
      <w:r w:rsidR="00B10069">
        <w:rPr>
          <w:bCs/>
          <w:sz w:val="24"/>
        </w:rPr>
        <w:t>ing</w:t>
      </w:r>
      <w:r>
        <w:rPr>
          <w:bCs/>
          <w:sz w:val="24"/>
        </w:rPr>
        <w:t xml:space="preserve"> approximately two years. This project also includes Whole Home Upgrades to 2 single-family</w:t>
      </w:r>
      <w:r w:rsidR="000D3D63">
        <w:rPr>
          <w:bCs/>
          <w:sz w:val="24"/>
        </w:rPr>
        <w:t>, rented</w:t>
      </w:r>
      <w:r>
        <w:rPr>
          <w:bCs/>
          <w:sz w:val="24"/>
        </w:rPr>
        <w:t xml:space="preserve"> homes with 4 residents per home</w:t>
      </w:r>
      <w:r w:rsidR="00B10069">
        <w:rPr>
          <w:bCs/>
          <w:sz w:val="24"/>
        </w:rPr>
        <w:t>,</w:t>
      </w:r>
      <w:r w:rsidR="00B10069" w:rsidRPr="00F33108">
        <w:rPr>
          <w:sz w:val="24"/>
        </w:rPr>
        <w:t xml:space="preserve"> </w:t>
      </w:r>
      <w:r w:rsidR="00B10069">
        <w:rPr>
          <w:bCs/>
          <w:sz w:val="24"/>
        </w:rPr>
        <w:t>with each resident spending 5 years in the home</w:t>
      </w:r>
      <w:r>
        <w:rPr>
          <w:bCs/>
          <w:sz w:val="24"/>
        </w:rPr>
        <w:t>.</w:t>
      </w:r>
    </w:p>
    <w:p w14:paraId="57F5AD27" w14:textId="4624F146" w:rsidR="00D44F7F" w:rsidRPr="003973EE" w:rsidRDefault="00D44F7F" w:rsidP="00D44F7F">
      <w:pPr>
        <w:ind w:left="720" w:hanging="720"/>
        <w:rPr>
          <w:bCs/>
          <w:sz w:val="24"/>
        </w:rPr>
      </w:pPr>
      <w:r>
        <w:rPr>
          <w:bCs/>
          <w:sz w:val="24"/>
        </w:rPr>
        <w:tab/>
        <w:t>To calculate the number of LMI Marylanders served in the homeless shelter (temporary housing):</w:t>
      </w:r>
    </w:p>
    <w:p w14:paraId="7F530A49" w14:textId="7B94E419" w:rsidR="00AD4279" w:rsidRPr="00AD4279" w:rsidRDefault="00D44F7F" w:rsidP="00AD4279">
      <w:pPr>
        <w:jc w:val="center"/>
        <w:rPr>
          <w:rFonts w:eastAsiaTheme="minorEastAsia"/>
          <w:bCs/>
          <w:sz w:val="24"/>
        </w:rPr>
      </w:pPr>
      <m:oMathPara>
        <m:oMath>
          <m:r>
            <w:rPr>
              <w:rFonts w:ascii="Cambria Math" w:hAnsi="Cambria Math"/>
              <w:sz w:val="24"/>
            </w:rPr>
            <m:t xml:space="preserve">3 units × </m:t>
          </m:r>
          <m:f>
            <m:fPr>
              <m:ctrlPr>
                <w:rPr>
                  <w:rFonts w:ascii="Cambria Math" w:hAnsi="Cambria Math"/>
                  <w:bCs/>
                  <w:i/>
                  <w:sz w:val="24"/>
                </w:rPr>
              </m:ctrlPr>
            </m:fPr>
            <m:num>
              <m:r>
                <w:rPr>
                  <w:rFonts w:ascii="Cambria Math" w:hAnsi="Cambria Math"/>
                  <w:sz w:val="24"/>
                </w:rPr>
                <m:t>5 individuals per unit</m:t>
              </m:r>
            </m:num>
            <m:den>
              <m:r>
                <w:rPr>
                  <w:rFonts w:ascii="Cambria Math" w:hAnsi="Cambria Math"/>
                  <w:sz w:val="24"/>
                </w:rPr>
                <m:t>2 years</m:t>
              </m:r>
            </m:den>
          </m:f>
          <m:r>
            <w:rPr>
              <w:rFonts w:ascii="Cambria Math" w:hAnsi="Cambria Math"/>
              <w:sz w:val="24"/>
            </w:rPr>
            <m:t xml:space="preserve"> ×15 years=112.5→113 LMI Marylanders</m:t>
          </m:r>
        </m:oMath>
      </m:oMathPara>
    </w:p>
    <w:p w14:paraId="123B0CB6" w14:textId="62D3CD57" w:rsidR="00AD4279" w:rsidRPr="00AD4279" w:rsidRDefault="00AD4279" w:rsidP="00F33108">
      <w:pPr>
        <w:ind w:firstLine="720"/>
        <w:rPr>
          <w:bCs/>
          <w:sz w:val="24"/>
        </w:rPr>
      </w:pPr>
      <w:r w:rsidRPr="00AD4279">
        <w:rPr>
          <w:rFonts w:eastAsiaTheme="minorEastAsia"/>
          <w:bCs/>
          <w:sz w:val="24"/>
        </w:rPr>
        <w:t>To calculate the number of LMI Marylanders served in the single-family homes:</w:t>
      </w:r>
    </w:p>
    <w:p w14:paraId="7E6365B3" w14:textId="77777777" w:rsidR="00AD4279" w:rsidRPr="00AD4279" w:rsidRDefault="00AD4279" w:rsidP="00AD4279">
      <w:pPr>
        <w:ind w:left="1080"/>
        <w:rPr>
          <w:rFonts w:eastAsiaTheme="minorEastAsia"/>
          <w:sz w:val="24"/>
        </w:rPr>
      </w:pPr>
      <m:oMathPara>
        <m:oMath>
          <m:r>
            <w:rPr>
              <w:rFonts w:ascii="Cambria Math" w:hAnsi="Cambria Math"/>
              <w:sz w:val="24"/>
            </w:rPr>
            <m:t xml:space="preserve">2 </m:t>
          </m:r>
          <m:r>
            <w:rPr>
              <w:rFonts w:ascii="Cambria Math" w:hAnsi="Cambria Math"/>
              <w:sz w:val="24"/>
            </w:rPr>
            <m:t>households ×</m:t>
          </m:r>
          <m:f>
            <m:fPr>
              <m:ctrlPr>
                <w:rPr>
                  <w:rFonts w:ascii="Cambria Math" w:hAnsi="Cambria Math"/>
                  <w:bCs/>
                  <w:i/>
                  <w:sz w:val="24"/>
                </w:rPr>
              </m:ctrlPr>
            </m:fPr>
            <m:num>
              <m:r>
                <w:rPr>
                  <w:rFonts w:ascii="Cambria Math" w:hAnsi="Cambria Math"/>
                  <w:sz w:val="24"/>
                </w:rPr>
                <m:t>4 individuals per unit</m:t>
              </m:r>
            </m:num>
            <m:den>
              <m:r>
                <w:rPr>
                  <w:rFonts w:ascii="Cambria Math" w:hAnsi="Cambria Math"/>
                  <w:sz w:val="24"/>
                </w:rPr>
                <m:t>5 years</m:t>
              </m:r>
            </m:den>
          </m:f>
          <m:r>
            <w:rPr>
              <w:rFonts w:ascii="Cambria Math" w:hAnsi="Cambria Math"/>
              <w:sz w:val="24"/>
            </w:rPr>
            <m:t xml:space="preserve"> ×15 years=24 LMI Marylanders</m:t>
          </m:r>
        </m:oMath>
      </m:oMathPara>
    </w:p>
    <w:p w14:paraId="46417E16" w14:textId="77777777" w:rsidR="00AD4279" w:rsidRPr="00AD4279" w:rsidRDefault="00AD4279" w:rsidP="00AD4279">
      <w:pPr>
        <w:ind w:left="720"/>
        <w:rPr>
          <w:bCs/>
          <w:sz w:val="24"/>
        </w:rPr>
      </w:pPr>
      <w:r w:rsidRPr="00AD4279">
        <w:rPr>
          <w:rFonts w:eastAsiaTheme="minorEastAsia"/>
          <w:sz w:val="24"/>
        </w:rPr>
        <w:t xml:space="preserve">So, the total number of LMI Marylanders served by this project is 113 + 24 = </w:t>
      </w:r>
      <w:r w:rsidRPr="00AD4279">
        <w:rPr>
          <w:rFonts w:eastAsiaTheme="minorEastAsia"/>
          <w:sz w:val="24"/>
          <w:u w:val="single"/>
        </w:rPr>
        <w:t>137 Marylanders</w:t>
      </w:r>
      <w:r w:rsidRPr="00AD4279">
        <w:rPr>
          <w:rFonts w:eastAsiaTheme="minorEastAsia"/>
          <w:sz w:val="24"/>
        </w:rPr>
        <w:t>.</w:t>
      </w:r>
    </w:p>
    <w:p w14:paraId="211F8CE0" w14:textId="58845B42" w:rsidR="00D44F7F" w:rsidRPr="003973EE" w:rsidRDefault="00D44F7F" w:rsidP="00D44F7F">
      <w:pPr>
        <w:ind w:left="720"/>
        <w:rPr>
          <w:bCs/>
          <w:sz w:val="24"/>
        </w:rPr>
      </w:pPr>
    </w:p>
    <w:p w14:paraId="6727E844" w14:textId="77777777" w:rsidR="003973EE" w:rsidRPr="003973EE" w:rsidRDefault="003973EE" w:rsidP="003973EE">
      <w:pPr>
        <w:numPr>
          <w:ilvl w:val="0"/>
          <w:numId w:val="12"/>
        </w:numPr>
        <w:rPr>
          <w:bCs/>
          <w:sz w:val="24"/>
        </w:rPr>
      </w:pPr>
      <w:r w:rsidRPr="003973EE">
        <w:rPr>
          <w:b/>
          <w:bCs/>
          <w:sz w:val="24"/>
        </w:rPr>
        <w:t xml:space="preserve">Applicant’s willingness and ability to deliver energy upgrades to households that are not eligible for assistance through other channels. </w:t>
      </w:r>
      <w:r w:rsidRPr="003973EE">
        <w:rPr>
          <w:bCs/>
          <w:sz w:val="24"/>
        </w:rPr>
        <w:t xml:space="preserve">In particular, MEA is looking for applications that propose methods to target households unable to access the Department of Housing and Community Development’s Weatherization Assistance Program (WAP) and </w:t>
      </w:r>
      <w:r w:rsidRPr="003973EE">
        <w:rPr>
          <w:sz w:val="24"/>
        </w:rPr>
        <w:t xml:space="preserve">Maryland Low Income Energy Efficiency Program (LIEPP) programs.  </w:t>
      </w:r>
    </w:p>
    <w:p w14:paraId="0106711E" w14:textId="77777777" w:rsidR="003973EE" w:rsidRPr="003973EE" w:rsidRDefault="003973EE" w:rsidP="003973EE">
      <w:pPr>
        <w:numPr>
          <w:ilvl w:val="0"/>
          <w:numId w:val="12"/>
        </w:numPr>
        <w:rPr>
          <w:b/>
          <w:bCs/>
          <w:sz w:val="24"/>
        </w:rPr>
      </w:pPr>
      <w:r w:rsidRPr="003973EE">
        <w:rPr>
          <w:b/>
          <w:bCs/>
          <w:sz w:val="24"/>
        </w:rPr>
        <w:t xml:space="preserve">Applicant’s proposed method of delivery of energy products and services and whether the proposed method will provide the best value to the State of Maryland (State). </w:t>
      </w:r>
      <w:r w:rsidRPr="003973EE">
        <w:rPr>
          <w:bCs/>
          <w:sz w:val="24"/>
        </w:rPr>
        <w:t>The Program is based on the successful continuation of cost effective energy conservation measures. Thus, MEA will be reviewing applications to assure that methods of delivery will be cost effective and provide the best value to the State.</w:t>
      </w:r>
    </w:p>
    <w:p w14:paraId="6F2E3B67" w14:textId="77777777" w:rsidR="003973EE" w:rsidRPr="003973EE" w:rsidRDefault="003973EE" w:rsidP="003973EE">
      <w:pPr>
        <w:rPr>
          <w:bCs/>
          <w:sz w:val="24"/>
        </w:rPr>
      </w:pPr>
      <w:r w:rsidRPr="003973EE">
        <w:rPr>
          <w:bCs/>
          <w:sz w:val="24"/>
        </w:rPr>
        <w:t>In addition to the primary criteria shown above, MEA will also consider the following secondary criteria:</w:t>
      </w:r>
    </w:p>
    <w:p w14:paraId="5BA9BE67" w14:textId="65B747D6" w:rsidR="003973EE" w:rsidRPr="003973EE" w:rsidRDefault="003973EE" w:rsidP="003973EE">
      <w:pPr>
        <w:numPr>
          <w:ilvl w:val="0"/>
          <w:numId w:val="13"/>
        </w:numPr>
        <w:rPr>
          <w:bCs/>
          <w:sz w:val="24"/>
        </w:rPr>
      </w:pPr>
      <w:r w:rsidRPr="003973EE">
        <w:rPr>
          <w:bCs/>
          <w:sz w:val="24"/>
          <w:u w:val="single"/>
        </w:rPr>
        <w:t>Project feasibility</w:t>
      </w:r>
      <w:r w:rsidRPr="003973EE">
        <w:rPr>
          <w:bCs/>
          <w:sz w:val="24"/>
        </w:rPr>
        <w:t xml:space="preserve">: </w:t>
      </w:r>
    </w:p>
    <w:p w14:paraId="19FA4EA9" w14:textId="77777777" w:rsidR="003973EE" w:rsidRPr="003973EE" w:rsidRDefault="003973EE" w:rsidP="003973EE">
      <w:pPr>
        <w:numPr>
          <w:ilvl w:val="1"/>
          <w:numId w:val="13"/>
        </w:numPr>
        <w:rPr>
          <w:sz w:val="24"/>
        </w:rPr>
      </w:pPr>
      <w:r w:rsidRPr="003973EE">
        <w:rPr>
          <w:sz w:val="24"/>
        </w:rPr>
        <w:t>Can project construction be completed by April 1, 201</w:t>
      </w:r>
      <w:r w:rsidR="00836033">
        <w:rPr>
          <w:sz w:val="24"/>
        </w:rPr>
        <w:t>9</w:t>
      </w:r>
      <w:r w:rsidRPr="003973EE">
        <w:rPr>
          <w:sz w:val="24"/>
        </w:rPr>
        <w:t xml:space="preserve"> with all invoices submitted to MEA by no later than May 1, 201</w:t>
      </w:r>
      <w:r w:rsidR="00836033">
        <w:rPr>
          <w:sz w:val="24"/>
        </w:rPr>
        <w:t>9</w:t>
      </w:r>
      <w:r w:rsidRPr="003973EE">
        <w:rPr>
          <w:sz w:val="24"/>
        </w:rPr>
        <w:t>?</w:t>
      </w:r>
    </w:p>
    <w:p w14:paraId="32A869AF" w14:textId="77777777" w:rsidR="003973EE" w:rsidRPr="003973EE" w:rsidRDefault="003973EE" w:rsidP="003973EE">
      <w:pPr>
        <w:numPr>
          <w:ilvl w:val="0"/>
          <w:numId w:val="13"/>
        </w:numPr>
        <w:rPr>
          <w:bCs/>
          <w:sz w:val="24"/>
        </w:rPr>
      </w:pPr>
      <w:r w:rsidRPr="003973EE">
        <w:rPr>
          <w:bCs/>
          <w:sz w:val="24"/>
          <w:u w:val="single"/>
        </w:rPr>
        <w:t>Accuracy of energy savings and cost information for the project</w:t>
      </w:r>
      <w:r w:rsidRPr="003973EE">
        <w:rPr>
          <w:bCs/>
          <w:sz w:val="24"/>
        </w:rPr>
        <w:t xml:space="preserve">: </w:t>
      </w:r>
    </w:p>
    <w:p w14:paraId="01EB3293" w14:textId="77777777" w:rsidR="003973EE" w:rsidRPr="003973EE" w:rsidRDefault="003973EE" w:rsidP="003973EE">
      <w:pPr>
        <w:numPr>
          <w:ilvl w:val="1"/>
          <w:numId w:val="13"/>
        </w:numPr>
        <w:rPr>
          <w:bCs/>
          <w:sz w:val="24"/>
        </w:rPr>
      </w:pPr>
      <w:r w:rsidRPr="003973EE">
        <w:rPr>
          <w:bCs/>
          <w:sz w:val="24"/>
        </w:rPr>
        <w:t xml:space="preserve">How accurate are the applicant’s estimates? </w:t>
      </w:r>
    </w:p>
    <w:p w14:paraId="36FFD645" w14:textId="77777777" w:rsidR="003973EE" w:rsidRPr="003973EE" w:rsidRDefault="003973EE" w:rsidP="003973EE">
      <w:pPr>
        <w:numPr>
          <w:ilvl w:val="1"/>
          <w:numId w:val="13"/>
        </w:numPr>
        <w:rPr>
          <w:bCs/>
          <w:sz w:val="24"/>
        </w:rPr>
      </w:pPr>
      <w:r w:rsidRPr="003973EE">
        <w:rPr>
          <w:bCs/>
          <w:sz w:val="24"/>
        </w:rPr>
        <w:t xml:space="preserve">Are assumptions behind the numbers clearly stated in a manner allowing the review team to evaluate the project? </w:t>
      </w:r>
    </w:p>
    <w:p w14:paraId="0FCBD6A2" w14:textId="77777777" w:rsidR="003973EE" w:rsidRPr="003973EE" w:rsidRDefault="003973EE" w:rsidP="003973EE">
      <w:pPr>
        <w:numPr>
          <w:ilvl w:val="0"/>
          <w:numId w:val="13"/>
        </w:numPr>
        <w:rPr>
          <w:bCs/>
          <w:sz w:val="24"/>
        </w:rPr>
      </w:pPr>
      <w:r w:rsidRPr="003973EE">
        <w:rPr>
          <w:bCs/>
          <w:sz w:val="24"/>
          <w:u w:val="single"/>
        </w:rPr>
        <w:t>Applicant’s past performance</w:t>
      </w:r>
      <w:r w:rsidRPr="003973EE">
        <w:rPr>
          <w:bCs/>
          <w:sz w:val="24"/>
        </w:rPr>
        <w:t xml:space="preserve"> complying with program requirements and participating in other state programs, if applicable.   </w:t>
      </w:r>
    </w:p>
    <w:p w14:paraId="19F5CCDC" w14:textId="1FD85C7B" w:rsidR="003973EE" w:rsidRPr="003973EE" w:rsidRDefault="003973EE" w:rsidP="003973EE">
      <w:pPr>
        <w:numPr>
          <w:ilvl w:val="0"/>
          <w:numId w:val="13"/>
        </w:numPr>
        <w:rPr>
          <w:sz w:val="24"/>
        </w:rPr>
      </w:pPr>
      <w:r w:rsidRPr="003973EE">
        <w:rPr>
          <w:bCs/>
          <w:sz w:val="24"/>
          <w:u w:val="single"/>
        </w:rPr>
        <w:t>Location</w:t>
      </w:r>
      <w:r w:rsidRPr="003973EE">
        <w:rPr>
          <w:bCs/>
          <w:sz w:val="24"/>
        </w:rPr>
        <w:t>, as related to the State’s Priority Funding Areas</w:t>
      </w:r>
      <w:r w:rsidRPr="003973EE">
        <w:rPr>
          <w:bCs/>
          <w:sz w:val="24"/>
          <w:vertAlign w:val="superscript"/>
        </w:rPr>
        <w:footnoteReference w:id="2"/>
      </w:r>
      <w:r w:rsidRPr="003973EE">
        <w:rPr>
          <w:bCs/>
          <w:sz w:val="24"/>
        </w:rPr>
        <w:t xml:space="preserve">. </w:t>
      </w:r>
      <w:r w:rsidRPr="003973EE">
        <w:rPr>
          <w:sz w:val="24"/>
        </w:rPr>
        <w:t xml:space="preserve">The State gives priority to projects occurring in Priority Funding Areas. According to the Maryland Department of Planning (MDP), </w:t>
      </w:r>
      <w:hyperlink r:id="rId13" w:history="1">
        <w:r w:rsidRPr="003973EE">
          <w:rPr>
            <w:rStyle w:val="Hyperlink"/>
            <w:sz w:val="24"/>
          </w:rPr>
          <w:t>Priority Funding Areas</w:t>
        </w:r>
      </w:hyperlink>
      <w:r w:rsidRPr="003973EE">
        <w:rPr>
          <w:sz w:val="24"/>
        </w:rPr>
        <w:t xml:space="preserve"> are existing communities and places where local governments want State investment to support future growth. The following areas qualify as Priority Funding Areas:</w:t>
      </w:r>
    </w:p>
    <w:p w14:paraId="05C0DCC2" w14:textId="77777777" w:rsidR="003973EE" w:rsidRPr="003973EE" w:rsidRDefault="003973EE" w:rsidP="00097148">
      <w:pPr>
        <w:numPr>
          <w:ilvl w:val="1"/>
          <w:numId w:val="13"/>
        </w:numPr>
        <w:spacing w:after="0"/>
        <w:rPr>
          <w:sz w:val="24"/>
        </w:rPr>
      </w:pPr>
      <w:r w:rsidRPr="003973EE">
        <w:rPr>
          <w:sz w:val="24"/>
        </w:rPr>
        <w:t>Every municipality, as they existed in 1997</w:t>
      </w:r>
    </w:p>
    <w:p w14:paraId="52E1A0DE" w14:textId="77777777" w:rsidR="003973EE" w:rsidRPr="003973EE" w:rsidRDefault="003973EE" w:rsidP="00097148">
      <w:pPr>
        <w:numPr>
          <w:ilvl w:val="1"/>
          <w:numId w:val="13"/>
        </w:numPr>
        <w:spacing w:after="0"/>
        <w:rPr>
          <w:sz w:val="24"/>
        </w:rPr>
      </w:pPr>
      <w:r w:rsidRPr="003973EE">
        <w:rPr>
          <w:sz w:val="24"/>
        </w:rPr>
        <w:t>Areas inside the Washington Beltway</w:t>
      </w:r>
      <w:r w:rsidR="00836033">
        <w:rPr>
          <w:sz w:val="24"/>
        </w:rPr>
        <w:t xml:space="preserve"> (I-495)</w:t>
      </w:r>
      <w:r w:rsidRPr="003973EE">
        <w:rPr>
          <w:sz w:val="24"/>
        </w:rPr>
        <w:t xml:space="preserve"> and the Baltimore Beltway</w:t>
      </w:r>
      <w:r w:rsidR="00836033">
        <w:rPr>
          <w:sz w:val="24"/>
        </w:rPr>
        <w:t xml:space="preserve"> (I-695)</w:t>
      </w:r>
    </w:p>
    <w:p w14:paraId="34E54CCD" w14:textId="77777777" w:rsidR="003973EE" w:rsidRPr="003973EE" w:rsidRDefault="003973EE" w:rsidP="003973EE">
      <w:pPr>
        <w:numPr>
          <w:ilvl w:val="1"/>
          <w:numId w:val="13"/>
        </w:numPr>
        <w:rPr>
          <w:sz w:val="24"/>
        </w:rPr>
      </w:pPr>
      <w:r w:rsidRPr="003973EE">
        <w:rPr>
          <w:sz w:val="24"/>
        </w:rPr>
        <w:t>Areas already designated as enterprise zones, neighborhood revitalization areas, heritage areas and existing industrial land.</w:t>
      </w:r>
    </w:p>
    <w:p w14:paraId="5BC01A61" w14:textId="77777777" w:rsidR="003973EE" w:rsidRPr="003973EE" w:rsidRDefault="003973EE" w:rsidP="003973EE">
      <w:pPr>
        <w:rPr>
          <w:b/>
          <w:bCs/>
          <w:sz w:val="24"/>
          <w:u w:val="single"/>
        </w:rPr>
      </w:pPr>
      <w:r w:rsidRPr="003973EE">
        <w:rPr>
          <w:b/>
          <w:bCs/>
          <w:sz w:val="24"/>
          <w:u w:val="single"/>
        </w:rPr>
        <w:t>Energy Savings Estimates</w:t>
      </w:r>
    </w:p>
    <w:p w14:paraId="73C0E722" w14:textId="36E533F8" w:rsidR="003973EE" w:rsidRPr="003973EE" w:rsidRDefault="003973EE" w:rsidP="003973EE">
      <w:pPr>
        <w:rPr>
          <w:sz w:val="24"/>
        </w:rPr>
      </w:pPr>
      <w:r w:rsidRPr="003973EE">
        <w:rPr>
          <w:bCs/>
          <w:sz w:val="24"/>
        </w:rPr>
        <w:t>To be competitive, the application must include detailed energy savings estimates. To simplify energy savings calculations, MEA has developed some simple energy assumptions for residential energy projects using</w:t>
      </w:r>
      <w:r w:rsidR="00836033">
        <w:rPr>
          <w:bCs/>
          <w:sz w:val="24"/>
        </w:rPr>
        <w:t xml:space="preserve"> f</w:t>
      </w:r>
      <w:r w:rsidRPr="003973EE">
        <w:rPr>
          <w:bCs/>
          <w:sz w:val="24"/>
        </w:rPr>
        <w:t xml:space="preserve">ormulas outlined in the </w:t>
      </w:r>
      <w:hyperlink r:id="rId14" w:history="1">
        <w:r w:rsidRPr="003973EE">
          <w:rPr>
            <w:rStyle w:val="Hyperlink"/>
            <w:bCs/>
            <w:sz w:val="24"/>
          </w:rPr>
          <w:t>Mid-Atlantic Technical Reference Manual (TRM)</w:t>
        </w:r>
      </w:hyperlink>
      <w:r w:rsidRPr="003973EE">
        <w:rPr>
          <w:bCs/>
          <w:sz w:val="24"/>
        </w:rPr>
        <w:t>.</w:t>
      </w:r>
      <w:r w:rsidRPr="003973EE">
        <w:rPr>
          <w:sz w:val="24"/>
          <w:vertAlign w:val="superscript"/>
        </w:rPr>
        <w:footnoteReference w:id="3"/>
      </w:r>
      <w:r w:rsidRPr="003973EE">
        <w:rPr>
          <w:sz w:val="24"/>
        </w:rPr>
        <w:t xml:space="preserve"> The residential energy assumptions are outlined on the following pages.  </w:t>
      </w:r>
    </w:p>
    <w:p w14:paraId="43C14D4D" w14:textId="7830C228" w:rsidR="003973EE" w:rsidRDefault="003973EE" w:rsidP="003973EE">
      <w:pPr>
        <w:rPr>
          <w:sz w:val="24"/>
        </w:rPr>
      </w:pPr>
      <w:r w:rsidRPr="003973EE">
        <w:rPr>
          <w:sz w:val="24"/>
        </w:rPr>
        <w:t xml:space="preserve">For commercial energy projects and for residential energy measures not quantified in this document, grant applicants </w:t>
      </w:r>
      <w:r w:rsidR="000420F5">
        <w:rPr>
          <w:sz w:val="24"/>
        </w:rPr>
        <w:t>should</w:t>
      </w:r>
      <w:r w:rsidRPr="003973EE">
        <w:rPr>
          <w:sz w:val="24"/>
        </w:rPr>
        <w:t xml:space="preserve"> cite alternative sources of energy estimates including, but not limited to, energy audits completed by a qualified auditor, online calculators maintained by the U.S. Department of Energy (DOE), </w:t>
      </w:r>
      <w:r w:rsidR="00B87D58">
        <w:rPr>
          <w:sz w:val="24"/>
        </w:rPr>
        <w:t>ENERGY STAR</w:t>
      </w:r>
      <w:r w:rsidRPr="003973EE">
        <w:rPr>
          <w:sz w:val="24"/>
        </w:rPr>
        <w:t xml:space="preserve"> calculators, etc.  For all alternative energy savings estimates, please be sure to cite the source of your estimate and provide all necessary back-up documentation (e.g., website URLs, formulas, etc.).</w:t>
      </w:r>
    </w:p>
    <w:p w14:paraId="01956A34" w14:textId="77777777" w:rsidR="00433DFA" w:rsidRPr="003973EE" w:rsidRDefault="00433DFA" w:rsidP="003973EE">
      <w:pPr>
        <w:rPr>
          <w:sz w:val="24"/>
        </w:rPr>
      </w:pPr>
    </w:p>
    <w:p w14:paraId="3685352D" w14:textId="58C8B25A" w:rsidR="003973EE" w:rsidRPr="003973EE" w:rsidRDefault="003973EE" w:rsidP="00F33108">
      <w:pPr>
        <w:spacing w:after="0"/>
        <w:rPr>
          <w:b/>
          <w:bCs/>
          <w:sz w:val="24"/>
        </w:rPr>
      </w:pPr>
      <w:r w:rsidRPr="003973EE">
        <w:rPr>
          <w:b/>
          <w:sz w:val="24"/>
        </w:rPr>
        <w:t>Residential Energy Assumptions (based on Mid-Atlantic Technical Reference Manual, versions 2, 4</w:t>
      </w:r>
      <w:r w:rsidR="00DC66B9">
        <w:rPr>
          <w:b/>
          <w:sz w:val="24"/>
        </w:rPr>
        <w:t>,</w:t>
      </w:r>
      <w:r w:rsidRPr="003973EE">
        <w:rPr>
          <w:b/>
          <w:sz w:val="24"/>
        </w:rPr>
        <w:t xml:space="preserve"> 5</w:t>
      </w:r>
      <w:r w:rsidR="000C7DA4">
        <w:rPr>
          <w:b/>
          <w:sz w:val="24"/>
        </w:rPr>
        <w:t xml:space="preserve"> &amp; 7</w:t>
      </w:r>
      <w:r w:rsidRPr="003973EE">
        <w:rPr>
          <w:b/>
          <w:sz w:val="24"/>
        </w:rPr>
        <w:t>)</w:t>
      </w:r>
    </w:p>
    <w:p w14:paraId="2F55D3CB" w14:textId="77777777" w:rsidR="003973EE" w:rsidRPr="003973EE" w:rsidRDefault="003973EE" w:rsidP="00985ECC">
      <w:pPr>
        <w:spacing w:after="0"/>
        <w:rPr>
          <w:b/>
          <w:bCs/>
          <w:sz w:val="24"/>
        </w:rPr>
      </w:pPr>
      <w:r w:rsidRPr="003973EE">
        <w:rPr>
          <w:sz w:val="24"/>
        </w:rPr>
        <w:t xml:space="preserve">   </w:t>
      </w:r>
    </w:p>
    <w:p w14:paraId="0AAAE16D" w14:textId="77777777" w:rsidR="003973EE" w:rsidRPr="003973EE" w:rsidRDefault="003973EE" w:rsidP="00985ECC">
      <w:pPr>
        <w:spacing w:after="0"/>
        <w:rPr>
          <w:b/>
          <w:bCs/>
          <w:sz w:val="24"/>
          <w:u w:val="single"/>
        </w:rPr>
      </w:pPr>
      <w:bookmarkStart w:id="4" w:name="OLE_LINK1"/>
      <w:r w:rsidRPr="003973EE">
        <w:rPr>
          <w:b/>
          <w:bCs/>
          <w:sz w:val="24"/>
          <w:u w:val="single"/>
        </w:rPr>
        <w:t>Lighting &amp; Appliance Measures</w:t>
      </w:r>
    </w:p>
    <w:p w14:paraId="5896BB6F" w14:textId="77777777" w:rsidR="003973EE" w:rsidRPr="003973EE" w:rsidRDefault="003973EE" w:rsidP="00985ECC">
      <w:pPr>
        <w:spacing w:after="0"/>
        <w:rPr>
          <w:bCs/>
          <w:sz w:val="24"/>
          <w:u w:val="single"/>
        </w:rPr>
      </w:pPr>
    </w:p>
    <w:p w14:paraId="29A16AF1" w14:textId="5C17EF22" w:rsidR="003973EE" w:rsidRPr="003973EE" w:rsidRDefault="003973EE" w:rsidP="00985ECC">
      <w:pPr>
        <w:spacing w:after="0"/>
        <w:rPr>
          <w:bCs/>
          <w:sz w:val="24"/>
        </w:rPr>
      </w:pPr>
      <w:r w:rsidRPr="003973EE">
        <w:rPr>
          <w:bCs/>
          <w:sz w:val="24"/>
        </w:rPr>
        <w:t xml:space="preserve">Replacement of an incandescent bulb with a CFL:  </w:t>
      </w:r>
      <w:r w:rsidRPr="003973EE">
        <w:rPr>
          <w:bCs/>
          <w:sz w:val="24"/>
        </w:rPr>
        <w:tab/>
      </w:r>
      <w:r w:rsidRPr="003973EE">
        <w:rPr>
          <w:bCs/>
          <w:sz w:val="24"/>
        </w:rPr>
        <w:tab/>
      </w:r>
      <w:r w:rsidRPr="003973EE">
        <w:rPr>
          <w:bCs/>
          <w:sz w:val="24"/>
        </w:rPr>
        <w:tab/>
      </w:r>
      <w:r w:rsidRPr="003973EE">
        <w:rPr>
          <w:bCs/>
          <w:sz w:val="24"/>
        </w:rPr>
        <w:tab/>
      </w:r>
      <w:r w:rsidR="0032417B" w:rsidRPr="003973EE">
        <w:rPr>
          <w:bCs/>
          <w:sz w:val="24"/>
        </w:rPr>
        <w:t xml:space="preserve">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30 </w:t>
      </w:r>
    </w:p>
    <w:p w14:paraId="30905C52" w14:textId="77777777" w:rsidR="003973EE" w:rsidRPr="003973EE" w:rsidRDefault="003973EE" w:rsidP="00985ECC">
      <w:pPr>
        <w:spacing w:after="0"/>
        <w:rPr>
          <w:bCs/>
          <w:sz w:val="24"/>
        </w:rPr>
      </w:pPr>
    </w:p>
    <w:p w14:paraId="2D32752E" w14:textId="14AC33DE" w:rsidR="003973EE" w:rsidRPr="003973EE" w:rsidRDefault="003973EE" w:rsidP="00985ECC">
      <w:pPr>
        <w:spacing w:after="0"/>
        <w:rPr>
          <w:bCs/>
          <w:sz w:val="24"/>
        </w:rPr>
      </w:pPr>
      <w:r w:rsidRPr="003973EE">
        <w:rPr>
          <w:bCs/>
          <w:sz w:val="24"/>
        </w:rPr>
        <w:t xml:space="preserve">Replacement of an incandescent bulb with a Screw Based LED:  </w:t>
      </w:r>
      <w:r w:rsidRPr="003973EE">
        <w:rPr>
          <w:bCs/>
          <w:sz w:val="24"/>
        </w:rPr>
        <w:tab/>
      </w:r>
      <w:r w:rsidRPr="003973EE">
        <w:rPr>
          <w:bCs/>
          <w:sz w:val="24"/>
        </w:rPr>
        <w:tab/>
        <w:t xml:space="preserve">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93.5 </w:t>
      </w:r>
    </w:p>
    <w:p w14:paraId="03C632D1" w14:textId="77777777" w:rsidR="003973EE" w:rsidRPr="003973EE" w:rsidRDefault="003973EE" w:rsidP="00985ECC">
      <w:pPr>
        <w:spacing w:after="0"/>
        <w:rPr>
          <w:bCs/>
          <w:sz w:val="24"/>
        </w:rPr>
      </w:pPr>
    </w:p>
    <w:p w14:paraId="65982BE1" w14:textId="3CFEC299" w:rsidR="003973EE" w:rsidRPr="003973EE" w:rsidRDefault="003973EE" w:rsidP="00985ECC">
      <w:pPr>
        <w:spacing w:after="0"/>
        <w:rPr>
          <w:bCs/>
          <w:sz w:val="24"/>
        </w:rPr>
      </w:pPr>
      <w:r w:rsidRPr="003973EE">
        <w:rPr>
          <w:bCs/>
          <w:sz w:val="24"/>
        </w:rPr>
        <w:t xml:space="preserve">Replacement of an existing refrigerator with an </w:t>
      </w:r>
      <w:r w:rsidR="00B87D58">
        <w:rPr>
          <w:bCs/>
          <w:sz w:val="24"/>
        </w:rPr>
        <w:t>ENERGY STAR</w:t>
      </w:r>
      <w:r w:rsidRPr="003973EE">
        <w:rPr>
          <w:bCs/>
          <w:sz w:val="24"/>
        </w:rPr>
        <w:t xml:space="preserve"> refrigerator: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117 </w:t>
      </w:r>
    </w:p>
    <w:p w14:paraId="19D83A2C" w14:textId="77777777" w:rsidR="003973EE" w:rsidRPr="003973EE" w:rsidRDefault="003973EE" w:rsidP="00985ECC">
      <w:pPr>
        <w:spacing w:after="0"/>
        <w:rPr>
          <w:bCs/>
          <w:sz w:val="24"/>
        </w:rPr>
      </w:pPr>
    </w:p>
    <w:p w14:paraId="173C5EE3" w14:textId="47745DAC" w:rsidR="003973EE" w:rsidRPr="003973EE" w:rsidRDefault="003973EE" w:rsidP="00985ECC">
      <w:pPr>
        <w:spacing w:after="0"/>
        <w:rPr>
          <w:bCs/>
          <w:sz w:val="24"/>
        </w:rPr>
      </w:pPr>
      <w:r w:rsidRPr="003973EE">
        <w:rPr>
          <w:bCs/>
          <w:sz w:val="24"/>
        </w:rPr>
        <w:t xml:space="preserve">Replacement of an existing clothes washer with an </w:t>
      </w:r>
      <w:r w:rsidR="00B87D58">
        <w:rPr>
          <w:bCs/>
          <w:sz w:val="24"/>
        </w:rPr>
        <w:t>ENERGY STAR</w:t>
      </w:r>
      <w:r w:rsidRPr="003973EE">
        <w:rPr>
          <w:bCs/>
          <w:sz w:val="24"/>
        </w:rPr>
        <w:t xml:space="preserve"> clothes washer:</w:t>
      </w:r>
    </w:p>
    <w:p w14:paraId="0210E716" w14:textId="6CF36D76" w:rsidR="003973EE" w:rsidRPr="003973EE" w:rsidRDefault="003973EE" w:rsidP="00985ECC">
      <w:pPr>
        <w:numPr>
          <w:ilvl w:val="0"/>
          <w:numId w:val="15"/>
        </w:numPr>
        <w:spacing w:after="0"/>
        <w:rPr>
          <w:bCs/>
          <w:sz w:val="24"/>
        </w:rPr>
      </w:pPr>
      <w:r w:rsidRPr="003973EE">
        <w:rPr>
          <w:bCs/>
          <w:sz w:val="24"/>
        </w:rPr>
        <w:t xml:space="preserve">Using hot water produced by electricity: </w:t>
      </w:r>
      <w:r w:rsidRPr="003973EE">
        <w:rPr>
          <w:bCs/>
          <w:sz w:val="24"/>
        </w:rPr>
        <w:tab/>
      </w:r>
      <w:r w:rsidRPr="003973EE">
        <w:rPr>
          <w:bCs/>
          <w:sz w:val="24"/>
        </w:rPr>
        <w:tab/>
      </w:r>
      <w:r w:rsidRPr="003973EE">
        <w:rPr>
          <w:bCs/>
          <w:sz w:val="24"/>
        </w:rPr>
        <w:tab/>
      </w:r>
      <w:r w:rsidRPr="003973EE">
        <w:rPr>
          <w:bCs/>
          <w:sz w:val="24"/>
        </w:rPr>
        <w:tab/>
        <w:t xml:space="preserve">   </w:t>
      </w:r>
      <w:r w:rsidR="0032417B">
        <w:rPr>
          <w:bCs/>
          <w:sz w:val="24"/>
        </w:rPr>
        <w:tab/>
      </w:r>
      <w:r w:rsidR="00DF08C9">
        <w:rPr>
          <w:sz w:val="24"/>
        </w:rPr>
        <w:t>∆</w:t>
      </w:r>
      <w:r w:rsidRPr="003973EE">
        <w:rPr>
          <w:sz w:val="24"/>
        </w:rPr>
        <w:t xml:space="preserve">kWh/year = </w:t>
      </w:r>
      <w:r w:rsidRPr="003973EE">
        <w:rPr>
          <w:bCs/>
          <w:sz w:val="24"/>
        </w:rPr>
        <w:t xml:space="preserve">153 </w:t>
      </w:r>
    </w:p>
    <w:p w14:paraId="5D7DE872" w14:textId="77777777" w:rsidR="003973EE" w:rsidRPr="003973EE" w:rsidRDefault="003973EE" w:rsidP="00985ECC">
      <w:pPr>
        <w:spacing w:after="0"/>
        <w:rPr>
          <w:bCs/>
          <w:sz w:val="24"/>
        </w:rPr>
      </w:pPr>
    </w:p>
    <w:p w14:paraId="424B32C3" w14:textId="11C3D092" w:rsidR="003973EE" w:rsidRPr="003973EE" w:rsidRDefault="003973EE" w:rsidP="00985ECC">
      <w:pPr>
        <w:numPr>
          <w:ilvl w:val="0"/>
          <w:numId w:val="15"/>
        </w:numPr>
        <w:spacing w:after="0"/>
        <w:rPr>
          <w:bCs/>
          <w:sz w:val="24"/>
        </w:rPr>
      </w:pPr>
      <w:r w:rsidRPr="003973EE">
        <w:rPr>
          <w:bCs/>
          <w:sz w:val="24"/>
        </w:rPr>
        <w:t xml:space="preserve">Using hot water produced by natural gas:  </w:t>
      </w:r>
      <w:r w:rsidRPr="003973EE">
        <w:rPr>
          <w:bCs/>
          <w:sz w:val="24"/>
        </w:rPr>
        <w:tab/>
      </w:r>
      <w:r w:rsidRPr="003973EE">
        <w:rPr>
          <w:bCs/>
          <w:sz w:val="24"/>
        </w:rPr>
        <w:tab/>
      </w:r>
      <w:r w:rsidRPr="003973EE">
        <w:rPr>
          <w:bCs/>
          <w:sz w:val="24"/>
        </w:rPr>
        <w:tab/>
      </w:r>
      <w:r w:rsidRPr="003973EE">
        <w:rPr>
          <w:bCs/>
          <w:sz w:val="24"/>
        </w:rPr>
        <w:tab/>
        <w:t xml:space="preserve">   </w:t>
      </w:r>
      <w:r w:rsidR="0032417B">
        <w:rPr>
          <w:bCs/>
          <w:sz w:val="24"/>
        </w:rPr>
        <w:tab/>
      </w:r>
      <w:r w:rsidR="00DF08C9">
        <w:rPr>
          <w:sz w:val="24"/>
        </w:rPr>
        <w:t>∆</w:t>
      </w:r>
      <w:r w:rsidRPr="003973EE">
        <w:rPr>
          <w:sz w:val="24"/>
        </w:rPr>
        <w:t xml:space="preserve">MMBTU/year = </w:t>
      </w:r>
      <w:r w:rsidRPr="003973EE">
        <w:rPr>
          <w:bCs/>
          <w:sz w:val="24"/>
        </w:rPr>
        <w:t xml:space="preserve">0.42 </w:t>
      </w:r>
    </w:p>
    <w:p w14:paraId="59E7290C" w14:textId="77777777" w:rsidR="003973EE" w:rsidRPr="003973EE" w:rsidRDefault="003973EE" w:rsidP="00985ECC">
      <w:pPr>
        <w:spacing w:after="0"/>
        <w:rPr>
          <w:bCs/>
          <w:sz w:val="24"/>
        </w:rPr>
      </w:pPr>
    </w:p>
    <w:p w14:paraId="141E92C5" w14:textId="1B8CD3FA" w:rsidR="003973EE" w:rsidRPr="003973EE" w:rsidRDefault="003973EE" w:rsidP="00985ECC">
      <w:pPr>
        <w:numPr>
          <w:ilvl w:val="0"/>
          <w:numId w:val="15"/>
        </w:numPr>
        <w:spacing w:after="0"/>
        <w:rPr>
          <w:bCs/>
          <w:sz w:val="24"/>
        </w:rPr>
      </w:pPr>
      <w:r w:rsidRPr="003973EE">
        <w:rPr>
          <w:bCs/>
          <w:sz w:val="24"/>
        </w:rPr>
        <w:t xml:space="preserve">Using hot water produced by oil: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0.05 </w:t>
      </w:r>
    </w:p>
    <w:p w14:paraId="73F14822" w14:textId="77777777" w:rsidR="003973EE" w:rsidRPr="003973EE" w:rsidRDefault="003973EE" w:rsidP="00985ECC">
      <w:pPr>
        <w:spacing w:after="0"/>
        <w:rPr>
          <w:bCs/>
          <w:sz w:val="24"/>
        </w:rPr>
      </w:pPr>
    </w:p>
    <w:p w14:paraId="0A6945E1" w14:textId="7196843D" w:rsidR="003973EE" w:rsidRDefault="003973EE" w:rsidP="00985ECC">
      <w:pPr>
        <w:numPr>
          <w:ilvl w:val="0"/>
          <w:numId w:val="15"/>
        </w:numPr>
        <w:spacing w:after="0"/>
        <w:rPr>
          <w:bCs/>
          <w:sz w:val="24"/>
        </w:rPr>
      </w:pPr>
      <w:r w:rsidRPr="003973EE">
        <w:rPr>
          <w:bCs/>
          <w:sz w:val="24"/>
        </w:rPr>
        <w:t xml:space="preserve">Using hot water produced by propane: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0.01 </w:t>
      </w:r>
    </w:p>
    <w:p w14:paraId="482F83B7" w14:textId="052309BA" w:rsidR="00FE7477" w:rsidRPr="003973EE" w:rsidRDefault="00FE7477" w:rsidP="00DC66B9">
      <w:pPr>
        <w:spacing w:after="0"/>
        <w:rPr>
          <w:bCs/>
          <w:sz w:val="24"/>
        </w:rPr>
      </w:pPr>
      <w:r>
        <w:br/>
      </w:r>
      <w:r w:rsidR="00666FE3" w:rsidRPr="00F33108">
        <w:t>Replacement of an existing clothes d</w:t>
      </w:r>
      <w:r w:rsidRPr="00F33108">
        <w:t>ryer</w:t>
      </w:r>
      <w:r w:rsidR="00666FE3" w:rsidRPr="00F33108">
        <w:t xml:space="preserve"> with an ENERGY STAR clothes </w:t>
      </w:r>
      <w:r w:rsidR="003B7D48" w:rsidRPr="00F33108">
        <w:t>dry</w:t>
      </w:r>
      <w:r w:rsidR="00666FE3" w:rsidRPr="00F33108">
        <w:t>er</w:t>
      </w:r>
      <w:r w:rsidRPr="00F33108">
        <w:t xml:space="preserve">: </w:t>
      </w:r>
      <w:r w:rsidR="00666FE3" w:rsidRPr="00F33108">
        <w:tab/>
      </w:r>
      <w:r w:rsidR="00666FE3" w:rsidRPr="00F33108">
        <w:tab/>
      </w:r>
      <w:r w:rsidR="0032417B">
        <w:tab/>
      </w:r>
      <w:r w:rsidR="00666FE3">
        <w:rPr>
          <w:sz w:val="24"/>
        </w:rPr>
        <w:t>∆</w:t>
      </w:r>
      <w:r w:rsidR="00666FE3" w:rsidRPr="003973EE">
        <w:rPr>
          <w:sz w:val="24"/>
        </w:rPr>
        <w:t xml:space="preserve">kWh/year = </w:t>
      </w:r>
      <w:r w:rsidR="00666FE3" w:rsidRPr="00F33108">
        <w:t>176.3</w:t>
      </w:r>
      <w:r w:rsidRPr="00F33108">
        <w:br/>
      </w:r>
      <w:r w:rsidRPr="00F33108">
        <w:br/>
      </w:r>
      <w:r w:rsidR="00666FE3" w:rsidRPr="00F33108">
        <w:t>Replacement of an existing dishwasher with an ENERGY STAR d</w:t>
      </w:r>
      <w:r w:rsidRPr="00F33108">
        <w:t xml:space="preserve">ishwasher: </w:t>
      </w:r>
      <w:r w:rsidR="00666FE3" w:rsidRPr="00F33108">
        <w:tab/>
      </w:r>
      <w:r w:rsidR="00666FE3" w:rsidRPr="00F33108">
        <w:tab/>
      </w:r>
      <w:r w:rsidR="0032417B">
        <w:tab/>
      </w:r>
      <w:r w:rsidR="00666FE3">
        <w:rPr>
          <w:sz w:val="24"/>
        </w:rPr>
        <w:t>∆</w:t>
      </w:r>
      <w:r w:rsidR="00666FE3" w:rsidRPr="003973EE">
        <w:rPr>
          <w:sz w:val="24"/>
        </w:rPr>
        <w:t xml:space="preserve">kWh/year = </w:t>
      </w:r>
      <w:r w:rsidRPr="00F33108">
        <w:t>37</w:t>
      </w:r>
    </w:p>
    <w:p w14:paraId="03AA703B" w14:textId="77777777" w:rsidR="003973EE" w:rsidRPr="003973EE" w:rsidRDefault="003973EE" w:rsidP="00985ECC">
      <w:pPr>
        <w:spacing w:after="0"/>
        <w:rPr>
          <w:bCs/>
          <w:sz w:val="24"/>
        </w:rPr>
      </w:pPr>
    </w:p>
    <w:p w14:paraId="3CA03058" w14:textId="77777777" w:rsidR="003973EE" w:rsidRPr="003973EE" w:rsidRDefault="003973EE" w:rsidP="00985ECC">
      <w:pPr>
        <w:spacing w:after="0"/>
        <w:rPr>
          <w:b/>
          <w:bCs/>
          <w:sz w:val="24"/>
          <w:u w:val="single"/>
        </w:rPr>
      </w:pPr>
      <w:r w:rsidRPr="003973EE">
        <w:rPr>
          <w:b/>
          <w:bCs/>
          <w:sz w:val="24"/>
          <w:u w:val="single"/>
        </w:rPr>
        <w:t>HVAC Measures</w:t>
      </w:r>
    </w:p>
    <w:p w14:paraId="686B808D" w14:textId="77777777" w:rsidR="003973EE" w:rsidRPr="003973EE" w:rsidRDefault="003973EE" w:rsidP="00985ECC">
      <w:pPr>
        <w:spacing w:after="0"/>
        <w:rPr>
          <w:bCs/>
          <w:sz w:val="24"/>
        </w:rPr>
      </w:pPr>
    </w:p>
    <w:p w14:paraId="7F2F803A" w14:textId="258CCE9D" w:rsidR="003973EE" w:rsidRPr="003973EE" w:rsidRDefault="003973EE" w:rsidP="00985ECC">
      <w:pPr>
        <w:spacing w:after="0"/>
        <w:rPr>
          <w:bCs/>
          <w:sz w:val="24"/>
        </w:rPr>
      </w:pPr>
      <w:r w:rsidRPr="003973EE">
        <w:rPr>
          <w:bCs/>
          <w:sz w:val="24"/>
        </w:rPr>
        <w:t xml:space="preserve">Replacement of an existing air conditioning unit with an </w:t>
      </w:r>
      <w:r w:rsidR="00B87D58">
        <w:rPr>
          <w:bCs/>
          <w:sz w:val="24"/>
        </w:rPr>
        <w:t>ENERGY STAR</w:t>
      </w:r>
      <w:r w:rsidRPr="003973EE">
        <w:rPr>
          <w:bCs/>
          <w:sz w:val="24"/>
        </w:rPr>
        <w:t xml:space="preserve"> AC unit: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101 </w:t>
      </w:r>
    </w:p>
    <w:p w14:paraId="5C573D8F" w14:textId="77777777" w:rsidR="003973EE" w:rsidRPr="003973EE" w:rsidRDefault="003973EE" w:rsidP="00985ECC">
      <w:pPr>
        <w:spacing w:after="0"/>
        <w:rPr>
          <w:bCs/>
          <w:sz w:val="24"/>
        </w:rPr>
      </w:pPr>
    </w:p>
    <w:p w14:paraId="19E186F8" w14:textId="7F3561AF" w:rsidR="003973EE" w:rsidRPr="003973EE" w:rsidRDefault="003973EE" w:rsidP="00985ECC">
      <w:pPr>
        <w:spacing w:after="0"/>
        <w:rPr>
          <w:bCs/>
          <w:sz w:val="24"/>
        </w:rPr>
      </w:pPr>
      <w:r w:rsidRPr="003973EE">
        <w:rPr>
          <w:bCs/>
          <w:sz w:val="24"/>
        </w:rPr>
        <w:t xml:space="preserve">Replacement of an air source heat pump with an </w:t>
      </w:r>
      <w:r w:rsidR="00B87D58">
        <w:rPr>
          <w:bCs/>
          <w:sz w:val="24"/>
        </w:rPr>
        <w:t>ENERGY STAR</w:t>
      </w:r>
      <w:r w:rsidRPr="003973EE">
        <w:rPr>
          <w:bCs/>
          <w:sz w:val="24"/>
        </w:rPr>
        <w:t xml:space="preserve"> heat pump: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297 </w:t>
      </w:r>
    </w:p>
    <w:p w14:paraId="7C03A0C5" w14:textId="77777777" w:rsidR="003973EE" w:rsidRPr="003973EE" w:rsidRDefault="003973EE" w:rsidP="00985ECC">
      <w:pPr>
        <w:spacing w:after="0"/>
        <w:rPr>
          <w:bCs/>
          <w:sz w:val="24"/>
        </w:rPr>
      </w:pPr>
    </w:p>
    <w:p w14:paraId="323BAD1D" w14:textId="20354E46" w:rsidR="003973EE" w:rsidRPr="003973EE" w:rsidRDefault="003973EE" w:rsidP="00985ECC">
      <w:pPr>
        <w:spacing w:after="0"/>
        <w:rPr>
          <w:bCs/>
          <w:sz w:val="24"/>
        </w:rPr>
      </w:pPr>
      <w:r w:rsidRPr="003973EE">
        <w:rPr>
          <w:bCs/>
          <w:sz w:val="24"/>
        </w:rPr>
        <w:t xml:space="preserve">Replacement of existing air conditioning with a Ductless Mini-Split heat pump:        </w:t>
      </w:r>
      <w:r w:rsidR="0032417B">
        <w:rPr>
          <w:bCs/>
          <w:sz w:val="24"/>
        </w:rPr>
        <w:tab/>
      </w:r>
      <w:r w:rsidR="00DF08C9">
        <w:rPr>
          <w:sz w:val="24"/>
        </w:rPr>
        <w:t>∆</w:t>
      </w:r>
      <w:r w:rsidRPr="003973EE">
        <w:rPr>
          <w:sz w:val="24"/>
        </w:rPr>
        <w:t xml:space="preserve">kWh/year = </w:t>
      </w:r>
      <w:r w:rsidRPr="003973EE">
        <w:rPr>
          <w:bCs/>
          <w:sz w:val="24"/>
        </w:rPr>
        <w:t>1,450</w:t>
      </w:r>
    </w:p>
    <w:p w14:paraId="366CFBA4" w14:textId="77777777" w:rsidR="003973EE" w:rsidRPr="003973EE" w:rsidRDefault="003973EE" w:rsidP="00985ECC">
      <w:pPr>
        <w:spacing w:after="0"/>
        <w:rPr>
          <w:bCs/>
          <w:sz w:val="24"/>
        </w:rPr>
      </w:pPr>
    </w:p>
    <w:p w14:paraId="0DFE8EB5" w14:textId="2A8E628D" w:rsidR="003973EE" w:rsidRPr="003973EE" w:rsidRDefault="003973EE" w:rsidP="00985ECC">
      <w:pPr>
        <w:spacing w:after="0"/>
        <w:rPr>
          <w:bCs/>
          <w:sz w:val="24"/>
        </w:rPr>
      </w:pPr>
      <w:r w:rsidRPr="003973EE">
        <w:rPr>
          <w:bCs/>
          <w:sz w:val="24"/>
        </w:rPr>
        <w:t xml:space="preserve">Replacement of an existing natural gas boiler with an </w:t>
      </w:r>
      <w:r w:rsidR="00B87D58">
        <w:rPr>
          <w:bCs/>
          <w:sz w:val="24"/>
        </w:rPr>
        <w:t>ENERGY STAR</w:t>
      </w:r>
      <w:r w:rsidRPr="003973EE">
        <w:rPr>
          <w:bCs/>
          <w:sz w:val="24"/>
        </w:rPr>
        <w:t xml:space="preserve"> gas boiler: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4.56 </w:t>
      </w:r>
    </w:p>
    <w:p w14:paraId="79B57E35" w14:textId="77777777" w:rsidR="003973EE" w:rsidRPr="003973EE" w:rsidRDefault="003973EE" w:rsidP="00985ECC">
      <w:pPr>
        <w:spacing w:after="0"/>
        <w:rPr>
          <w:bCs/>
          <w:sz w:val="24"/>
        </w:rPr>
      </w:pPr>
    </w:p>
    <w:p w14:paraId="42B7A9E5" w14:textId="13CA1E41" w:rsidR="003973EE" w:rsidRPr="003973EE" w:rsidRDefault="003973EE" w:rsidP="00985ECC">
      <w:pPr>
        <w:spacing w:after="0"/>
        <w:rPr>
          <w:bCs/>
          <w:sz w:val="24"/>
        </w:rPr>
      </w:pPr>
      <w:r w:rsidRPr="003973EE">
        <w:rPr>
          <w:bCs/>
          <w:sz w:val="24"/>
        </w:rPr>
        <w:t xml:space="preserve">Replacement of a gas furnace with an </w:t>
      </w:r>
      <w:r w:rsidR="00B87D58">
        <w:rPr>
          <w:bCs/>
          <w:sz w:val="24"/>
        </w:rPr>
        <w:t>ENERGY STAR</w:t>
      </w:r>
      <w:r w:rsidRPr="003973EE">
        <w:rPr>
          <w:bCs/>
          <w:sz w:val="24"/>
        </w:rPr>
        <w:t xml:space="preserve"> condensing gas furnace: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8.6 </w:t>
      </w:r>
    </w:p>
    <w:p w14:paraId="1AFD8CBC" w14:textId="77777777" w:rsidR="003973EE" w:rsidRPr="003973EE" w:rsidRDefault="003973EE" w:rsidP="00985ECC">
      <w:pPr>
        <w:spacing w:after="0"/>
        <w:rPr>
          <w:bCs/>
          <w:sz w:val="24"/>
        </w:rPr>
      </w:pPr>
    </w:p>
    <w:p w14:paraId="0C0CDA46" w14:textId="6BD4F9DA" w:rsidR="003973EE" w:rsidRPr="003973EE" w:rsidRDefault="003973EE" w:rsidP="00985ECC">
      <w:pPr>
        <w:spacing w:after="0"/>
        <w:rPr>
          <w:bCs/>
          <w:sz w:val="24"/>
        </w:rPr>
      </w:pPr>
      <w:r w:rsidRPr="003973EE">
        <w:rPr>
          <w:bCs/>
          <w:sz w:val="24"/>
        </w:rPr>
        <w:t xml:space="preserve">Replacement of an existing room AC unit with an </w:t>
      </w:r>
      <w:r w:rsidR="00B87D58">
        <w:rPr>
          <w:bCs/>
          <w:sz w:val="24"/>
        </w:rPr>
        <w:t>ENERGY STAR</w:t>
      </w:r>
      <w:r w:rsidRPr="003973EE">
        <w:rPr>
          <w:bCs/>
          <w:sz w:val="24"/>
        </w:rPr>
        <w:t xml:space="preserve"> room AC unit: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121 </w:t>
      </w:r>
    </w:p>
    <w:p w14:paraId="641E57F7" w14:textId="77777777" w:rsidR="003973EE" w:rsidRPr="003973EE" w:rsidRDefault="003973EE" w:rsidP="00985ECC">
      <w:pPr>
        <w:spacing w:after="0"/>
        <w:rPr>
          <w:bCs/>
          <w:sz w:val="24"/>
        </w:rPr>
      </w:pPr>
    </w:p>
    <w:p w14:paraId="30CBF650" w14:textId="5DC32A72" w:rsidR="00FE7477" w:rsidRDefault="003B7D48" w:rsidP="00985ECC">
      <w:pPr>
        <w:spacing w:after="0"/>
        <w:rPr>
          <w:bCs/>
          <w:sz w:val="24"/>
        </w:rPr>
      </w:pPr>
      <w:r w:rsidRPr="00F33108">
        <w:t>Replacement of an existing bath exhaust fan with an ENERGY STAR b</w:t>
      </w:r>
      <w:r w:rsidR="00FE7477" w:rsidRPr="00F33108">
        <w:t xml:space="preserve">ath </w:t>
      </w:r>
      <w:r w:rsidRPr="00F33108">
        <w:t>exhaust f</w:t>
      </w:r>
      <w:r w:rsidR="00FE7477" w:rsidRPr="00F33108">
        <w:t xml:space="preserve">an: </w:t>
      </w:r>
      <w:r w:rsidRPr="00F33108">
        <w:t xml:space="preserve">     </w:t>
      </w:r>
      <w:r w:rsidR="0032417B">
        <w:tab/>
      </w:r>
      <w:r w:rsidR="0032417B">
        <w:tab/>
      </w:r>
      <w:r>
        <w:rPr>
          <w:sz w:val="24"/>
        </w:rPr>
        <w:t>∆</w:t>
      </w:r>
      <w:r w:rsidRPr="003973EE">
        <w:rPr>
          <w:sz w:val="24"/>
        </w:rPr>
        <w:t xml:space="preserve">kWh/year = </w:t>
      </w:r>
      <w:r w:rsidRPr="00F33108">
        <w:t>35.4</w:t>
      </w:r>
      <w:r w:rsidR="00FE7477" w:rsidRPr="00F33108">
        <w:br/>
      </w:r>
      <w:r w:rsidR="00FE7477" w:rsidRPr="00F33108">
        <w:br/>
      </w:r>
      <w:r w:rsidRPr="00F33108">
        <w:t>Replacement of an existing ceiling fan with an ENERGY STAR ceiling f</w:t>
      </w:r>
      <w:r w:rsidR="00FE7477" w:rsidRPr="00F33108">
        <w:t xml:space="preserve">an: </w:t>
      </w:r>
      <w:r w:rsidRPr="00F33108">
        <w:tab/>
      </w:r>
      <w:r w:rsidRPr="00F33108">
        <w:tab/>
      </w:r>
      <w:r w:rsidRPr="00F33108">
        <w:tab/>
      </w:r>
      <w:r w:rsidR="0032417B">
        <w:tab/>
      </w:r>
      <w:r>
        <w:rPr>
          <w:sz w:val="24"/>
        </w:rPr>
        <w:t>∆</w:t>
      </w:r>
      <w:r w:rsidRPr="003973EE">
        <w:rPr>
          <w:sz w:val="24"/>
        </w:rPr>
        <w:t xml:space="preserve">kWh/year = </w:t>
      </w:r>
      <w:r w:rsidRPr="00F33108">
        <w:t>88.5</w:t>
      </w:r>
      <w:r w:rsidR="00FE7477" w:rsidRPr="003973EE">
        <w:rPr>
          <w:bCs/>
          <w:sz w:val="24"/>
        </w:rPr>
        <w:t xml:space="preserve"> </w:t>
      </w:r>
    </w:p>
    <w:p w14:paraId="127ECACC" w14:textId="77777777" w:rsidR="00FE7477" w:rsidRDefault="00FE7477" w:rsidP="00985ECC">
      <w:pPr>
        <w:spacing w:after="0"/>
        <w:rPr>
          <w:bCs/>
          <w:sz w:val="24"/>
        </w:rPr>
      </w:pPr>
    </w:p>
    <w:p w14:paraId="7B2182D5" w14:textId="465AB267" w:rsidR="003973EE" w:rsidRPr="003973EE" w:rsidRDefault="003973EE" w:rsidP="00985ECC">
      <w:pPr>
        <w:spacing w:after="0"/>
        <w:rPr>
          <w:bCs/>
          <w:sz w:val="24"/>
        </w:rPr>
      </w:pPr>
      <w:r w:rsidRPr="003973EE">
        <w:rPr>
          <w:bCs/>
          <w:sz w:val="24"/>
        </w:rPr>
        <w:t>Installation of a programmable thermostat (fossil fuel heating savings only)</w:t>
      </w:r>
      <w:r w:rsidRPr="003973EE">
        <w:rPr>
          <w:bCs/>
          <w:sz w:val="24"/>
          <w:vertAlign w:val="superscript"/>
        </w:rPr>
        <w:footnoteReference w:id="4"/>
      </w:r>
      <w:r w:rsidRPr="003973EE">
        <w:rPr>
          <w:bCs/>
          <w:sz w:val="24"/>
        </w:rPr>
        <w:t xml:space="preserve">:            </w:t>
      </w:r>
      <w:r w:rsidR="0032417B">
        <w:rPr>
          <w:bCs/>
          <w:sz w:val="24"/>
        </w:rPr>
        <w:tab/>
      </w:r>
      <w:r w:rsidR="00DF08C9">
        <w:rPr>
          <w:sz w:val="24"/>
        </w:rPr>
        <w:t>∆</w:t>
      </w:r>
      <w:r w:rsidRPr="003973EE">
        <w:rPr>
          <w:sz w:val="24"/>
        </w:rPr>
        <w:t xml:space="preserve">MMBTU/year = </w:t>
      </w:r>
      <w:r w:rsidRPr="003973EE">
        <w:rPr>
          <w:bCs/>
          <w:sz w:val="24"/>
        </w:rPr>
        <w:t xml:space="preserve">3.41 </w:t>
      </w:r>
    </w:p>
    <w:p w14:paraId="4FA518FE" w14:textId="77777777" w:rsidR="003973EE" w:rsidRPr="003973EE" w:rsidRDefault="003973EE" w:rsidP="00985ECC">
      <w:pPr>
        <w:spacing w:after="0"/>
        <w:rPr>
          <w:bCs/>
          <w:sz w:val="24"/>
          <w:u w:val="single"/>
        </w:rPr>
      </w:pPr>
    </w:p>
    <w:p w14:paraId="0BBCAC9B" w14:textId="0DF7AE92" w:rsidR="003973EE" w:rsidRPr="003973EE" w:rsidRDefault="003973EE" w:rsidP="00985ECC">
      <w:pPr>
        <w:spacing w:after="0"/>
        <w:rPr>
          <w:bCs/>
          <w:sz w:val="24"/>
        </w:rPr>
      </w:pPr>
      <w:r w:rsidRPr="003973EE">
        <w:rPr>
          <w:bCs/>
          <w:sz w:val="24"/>
        </w:rPr>
        <w:t xml:space="preserve">Duct sealing – cooling (central AC or heat pump):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212  </w:t>
      </w:r>
    </w:p>
    <w:p w14:paraId="6036721A" w14:textId="77777777" w:rsidR="003973EE" w:rsidRPr="003973EE" w:rsidRDefault="003973EE" w:rsidP="00985ECC">
      <w:pPr>
        <w:spacing w:after="0"/>
        <w:rPr>
          <w:bCs/>
          <w:sz w:val="24"/>
        </w:rPr>
      </w:pPr>
    </w:p>
    <w:p w14:paraId="23C42757" w14:textId="785B0EA6" w:rsidR="003973EE" w:rsidRPr="003973EE" w:rsidRDefault="003973EE" w:rsidP="00985ECC">
      <w:pPr>
        <w:spacing w:after="0"/>
        <w:rPr>
          <w:bCs/>
          <w:sz w:val="24"/>
        </w:rPr>
      </w:pPr>
      <w:r w:rsidRPr="003973EE">
        <w:rPr>
          <w:bCs/>
          <w:sz w:val="24"/>
        </w:rPr>
        <w:t xml:space="preserve">Duct sealing – heating (electric heat pump):                                                                </w:t>
      </w:r>
      <w:r w:rsidR="0032417B">
        <w:rPr>
          <w:bCs/>
          <w:sz w:val="24"/>
        </w:rPr>
        <w:tab/>
      </w:r>
      <w:r w:rsidR="0032417B">
        <w:rPr>
          <w:bCs/>
          <w:sz w:val="24"/>
        </w:rPr>
        <w:tab/>
      </w:r>
      <w:r w:rsidRPr="003973EE">
        <w:rPr>
          <w:bCs/>
          <w:sz w:val="24"/>
        </w:rPr>
        <w:t xml:space="preserve"> </w:t>
      </w:r>
      <w:r w:rsidR="00DF08C9">
        <w:rPr>
          <w:sz w:val="24"/>
        </w:rPr>
        <w:t>∆</w:t>
      </w:r>
      <w:r w:rsidRPr="003973EE">
        <w:rPr>
          <w:sz w:val="24"/>
        </w:rPr>
        <w:t xml:space="preserve">kWh/year = </w:t>
      </w:r>
      <w:r w:rsidRPr="003973EE">
        <w:rPr>
          <w:bCs/>
          <w:sz w:val="24"/>
        </w:rPr>
        <w:t xml:space="preserve">467 </w:t>
      </w:r>
    </w:p>
    <w:p w14:paraId="3725EA8E" w14:textId="77777777" w:rsidR="003973EE" w:rsidRPr="003973EE" w:rsidRDefault="003973EE" w:rsidP="00985ECC">
      <w:pPr>
        <w:spacing w:after="0"/>
        <w:rPr>
          <w:bCs/>
          <w:sz w:val="24"/>
        </w:rPr>
      </w:pPr>
    </w:p>
    <w:p w14:paraId="44A41B08" w14:textId="48E4CFD6" w:rsidR="003973EE" w:rsidRPr="003973EE" w:rsidRDefault="003973EE" w:rsidP="00985ECC">
      <w:pPr>
        <w:spacing w:after="0"/>
        <w:rPr>
          <w:bCs/>
          <w:sz w:val="24"/>
        </w:rPr>
      </w:pPr>
      <w:r w:rsidRPr="003973EE">
        <w:rPr>
          <w:bCs/>
          <w:sz w:val="24"/>
        </w:rPr>
        <w:t xml:space="preserve">Duct sealing – heating (electric resistance heat):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934 </w:t>
      </w:r>
    </w:p>
    <w:p w14:paraId="66ADECC1" w14:textId="77777777" w:rsidR="003973EE" w:rsidRPr="003973EE" w:rsidRDefault="003973EE" w:rsidP="00985ECC">
      <w:pPr>
        <w:spacing w:after="0"/>
        <w:rPr>
          <w:bCs/>
          <w:sz w:val="24"/>
        </w:rPr>
      </w:pPr>
    </w:p>
    <w:p w14:paraId="396082B4" w14:textId="48CB13BE" w:rsidR="003973EE" w:rsidRPr="003973EE" w:rsidRDefault="003973EE" w:rsidP="00985ECC">
      <w:pPr>
        <w:spacing w:after="0"/>
        <w:rPr>
          <w:bCs/>
          <w:sz w:val="24"/>
        </w:rPr>
      </w:pPr>
      <w:r w:rsidRPr="003973EE">
        <w:rPr>
          <w:bCs/>
          <w:sz w:val="24"/>
        </w:rPr>
        <w:t xml:space="preserve">Duct sealing – fossil fuel heating: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8.2 </w:t>
      </w:r>
    </w:p>
    <w:p w14:paraId="4682FE05" w14:textId="77777777" w:rsidR="003973EE" w:rsidRPr="003973EE" w:rsidRDefault="003973EE" w:rsidP="00985ECC">
      <w:pPr>
        <w:spacing w:after="0"/>
        <w:rPr>
          <w:bCs/>
          <w:sz w:val="24"/>
          <w:u w:val="single"/>
        </w:rPr>
      </w:pPr>
    </w:p>
    <w:p w14:paraId="2A57DC5C" w14:textId="77777777" w:rsidR="003973EE" w:rsidRPr="003973EE" w:rsidRDefault="003973EE" w:rsidP="00985ECC">
      <w:pPr>
        <w:spacing w:after="0"/>
        <w:rPr>
          <w:b/>
          <w:bCs/>
          <w:sz w:val="24"/>
          <w:u w:val="single"/>
        </w:rPr>
      </w:pPr>
      <w:r w:rsidRPr="003973EE">
        <w:rPr>
          <w:b/>
          <w:bCs/>
          <w:sz w:val="24"/>
          <w:u w:val="single"/>
        </w:rPr>
        <w:t>Air Sealing Measures</w:t>
      </w:r>
    </w:p>
    <w:p w14:paraId="07AD8766" w14:textId="77777777" w:rsidR="003973EE" w:rsidRPr="003973EE" w:rsidRDefault="003973EE" w:rsidP="00985ECC">
      <w:pPr>
        <w:spacing w:after="0"/>
        <w:rPr>
          <w:bCs/>
          <w:sz w:val="24"/>
        </w:rPr>
      </w:pPr>
    </w:p>
    <w:p w14:paraId="272FFC98" w14:textId="232264AD" w:rsidR="003973EE" w:rsidRPr="003973EE" w:rsidRDefault="003973EE" w:rsidP="00985ECC">
      <w:pPr>
        <w:spacing w:after="0"/>
        <w:rPr>
          <w:bCs/>
          <w:sz w:val="24"/>
        </w:rPr>
      </w:pPr>
      <w:r w:rsidRPr="003973EE">
        <w:rPr>
          <w:bCs/>
          <w:sz w:val="24"/>
        </w:rPr>
        <w:t xml:space="preserve">Air sealing – air conditioning savings: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309 </w:t>
      </w:r>
    </w:p>
    <w:p w14:paraId="76FA10F5" w14:textId="77777777" w:rsidR="003973EE" w:rsidRPr="003973EE" w:rsidRDefault="003973EE" w:rsidP="00985ECC">
      <w:pPr>
        <w:spacing w:after="0"/>
        <w:rPr>
          <w:bCs/>
          <w:sz w:val="24"/>
        </w:rPr>
      </w:pPr>
    </w:p>
    <w:p w14:paraId="72697A9E" w14:textId="57FC416D" w:rsidR="003973EE" w:rsidRPr="003973EE" w:rsidRDefault="003973EE" w:rsidP="00985ECC">
      <w:pPr>
        <w:spacing w:after="0"/>
        <w:rPr>
          <w:sz w:val="24"/>
        </w:rPr>
      </w:pPr>
      <w:r w:rsidRPr="003973EE">
        <w:rPr>
          <w:bCs/>
          <w:sz w:val="24"/>
        </w:rPr>
        <w:t xml:space="preserve">Air sealing – heat pump (heat only) savings: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943 </w:t>
      </w:r>
    </w:p>
    <w:bookmarkEnd w:id="4"/>
    <w:p w14:paraId="5391E3BA" w14:textId="77777777" w:rsidR="003973EE" w:rsidRPr="003973EE" w:rsidRDefault="003973EE" w:rsidP="00985ECC">
      <w:pPr>
        <w:spacing w:after="0"/>
        <w:rPr>
          <w:bCs/>
          <w:sz w:val="24"/>
        </w:rPr>
      </w:pPr>
      <w:r w:rsidRPr="003973EE">
        <w:rPr>
          <w:bCs/>
          <w:sz w:val="24"/>
        </w:rPr>
        <w:t xml:space="preserve"> </w:t>
      </w:r>
    </w:p>
    <w:p w14:paraId="1EDA38CE" w14:textId="43134C93" w:rsidR="003973EE" w:rsidRPr="003973EE" w:rsidRDefault="003973EE" w:rsidP="00985ECC">
      <w:pPr>
        <w:spacing w:after="0"/>
        <w:rPr>
          <w:bCs/>
          <w:sz w:val="24"/>
        </w:rPr>
      </w:pPr>
      <w:r w:rsidRPr="003973EE">
        <w:rPr>
          <w:bCs/>
          <w:sz w:val="24"/>
        </w:rPr>
        <w:t xml:space="preserve">Air sealing – electric resistance heat savings:                                                               </w:t>
      </w:r>
      <w:r w:rsidR="0032417B">
        <w:rPr>
          <w:bCs/>
          <w:sz w:val="24"/>
        </w:rPr>
        <w:tab/>
      </w:r>
      <w:r w:rsidR="0032417B">
        <w:rPr>
          <w:bCs/>
          <w:sz w:val="24"/>
        </w:rPr>
        <w:tab/>
      </w:r>
      <w:r w:rsidR="00DF08C9">
        <w:rPr>
          <w:sz w:val="24"/>
        </w:rPr>
        <w:t>∆</w:t>
      </w:r>
      <w:r w:rsidRPr="003973EE">
        <w:rPr>
          <w:sz w:val="24"/>
        </w:rPr>
        <w:t xml:space="preserve">kWh/year = </w:t>
      </w:r>
      <w:r w:rsidRPr="003973EE">
        <w:rPr>
          <w:bCs/>
          <w:sz w:val="24"/>
        </w:rPr>
        <w:t xml:space="preserve">1888 </w:t>
      </w:r>
    </w:p>
    <w:p w14:paraId="34C1EF55" w14:textId="77777777" w:rsidR="003973EE" w:rsidRPr="003973EE" w:rsidRDefault="003973EE" w:rsidP="00985ECC">
      <w:pPr>
        <w:spacing w:after="0"/>
        <w:rPr>
          <w:bCs/>
          <w:sz w:val="24"/>
        </w:rPr>
      </w:pPr>
    </w:p>
    <w:p w14:paraId="0F076813" w14:textId="698F7501" w:rsidR="003973EE" w:rsidRPr="003973EE" w:rsidRDefault="003973EE" w:rsidP="00985ECC">
      <w:pPr>
        <w:spacing w:after="0"/>
        <w:rPr>
          <w:bCs/>
          <w:sz w:val="24"/>
        </w:rPr>
      </w:pPr>
      <w:r w:rsidRPr="003973EE">
        <w:rPr>
          <w:bCs/>
          <w:sz w:val="24"/>
        </w:rPr>
        <w:t xml:space="preserve">Air sealing – fossil fuel heat savings: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9.76 </w:t>
      </w:r>
    </w:p>
    <w:p w14:paraId="2A304C5D" w14:textId="77777777" w:rsidR="003973EE" w:rsidRPr="003973EE" w:rsidRDefault="003973EE" w:rsidP="00985ECC">
      <w:pPr>
        <w:spacing w:after="0"/>
        <w:rPr>
          <w:bCs/>
          <w:sz w:val="24"/>
        </w:rPr>
      </w:pPr>
    </w:p>
    <w:p w14:paraId="19EE4CC0" w14:textId="77777777" w:rsidR="003973EE" w:rsidRPr="003973EE" w:rsidRDefault="003973EE" w:rsidP="00985ECC">
      <w:pPr>
        <w:spacing w:after="0"/>
        <w:rPr>
          <w:b/>
          <w:bCs/>
          <w:sz w:val="24"/>
          <w:u w:val="single"/>
        </w:rPr>
      </w:pPr>
      <w:r w:rsidRPr="003973EE">
        <w:rPr>
          <w:b/>
          <w:bCs/>
          <w:sz w:val="24"/>
          <w:u w:val="single"/>
        </w:rPr>
        <w:t>Attic/Roof/Ceiling Insulation Measures</w:t>
      </w:r>
    </w:p>
    <w:p w14:paraId="660327BB" w14:textId="77777777" w:rsidR="003973EE" w:rsidRPr="003973EE" w:rsidRDefault="003973EE" w:rsidP="00985ECC">
      <w:pPr>
        <w:spacing w:after="0"/>
        <w:rPr>
          <w:bCs/>
          <w:sz w:val="24"/>
        </w:rPr>
      </w:pPr>
    </w:p>
    <w:p w14:paraId="221823CD" w14:textId="667E29D3" w:rsidR="003973EE" w:rsidRPr="003973EE" w:rsidRDefault="003973EE" w:rsidP="00985ECC">
      <w:pPr>
        <w:spacing w:after="0"/>
        <w:rPr>
          <w:bCs/>
          <w:sz w:val="24"/>
        </w:rPr>
      </w:pPr>
      <w:r w:rsidRPr="003973EE">
        <w:rPr>
          <w:bCs/>
          <w:sz w:val="24"/>
        </w:rPr>
        <w:t xml:space="preserve">Attic/roof/ceiling insulation – air conditioning load savings:                                         </w:t>
      </w:r>
      <w:r w:rsidR="0032417B">
        <w:rPr>
          <w:bCs/>
          <w:sz w:val="24"/>
        </w:rPr>
        <w:tab/>
      </w:r>
      <w:r w:rsidR="00DF08C9">
        <w:rPr>
          <w:sz w:val="24"/>
        </w:rPr>
        <w:t>∆</w:t>
      </w:r>
      <w:r w:rsidRPr="003973EE">
        <w:rPr>
          <w:sz w:val="24"/>
        </w:rPr>
        <w:t xml:space="preserve">kWh/year = </w:t>
      </w:r>
      <w:r w:rsidRPr="003973EE">
        <w:rPr>
          <w:bCs/>
          <w:sz w:val="24"/>
        </w:rPr>
        <w:t xml:space="preserve">28 </w:t>
      </w:r>
    </w:p>
    <w:p w14:paraId="13223469" w14:textId="77777777" w:rsidR="003973EE" w:rsidRPr="003973EE" w:rsidRDefault="003973EE" w:rsidP="00985ECC">
      <w:pPr>
        <w:spacing w:after="0"/>
        <w:rPr>
          <w:bCs/>
          <w:sz w:val="24"/>
        </w:rPr>
      </w:pPr>
    </w:p>
    <w:p w14:paraId="224157D2" w14:textId="304D2510" w:rsidR="003973EE" w:rsidRPr="003973EE" w:rsidRDefault="003973EE" w:rsidP="00985ECC">
      <w:pPr>
        <w:spacing w:after="0"/>
        <w:rPr>
          <w:bCs/>
          <w:sz w:val="24"/>
        </w:rPr>
      </w:pPr>
      <w:r w:rsidRPr="003973EE">
        <w:rPr>
          <w:bCs/>
          <w:sz w:val="24"/>
        </w:rPr>
        <w:t xml:space="preserve">Attic/roof/ceiling insulation – electric heat pump load savings:                                    </w:t>
      </w:r>
      <w:r w:rsidR="0032417B">
        <w:rPr>
          <w:bCs/>
          <w:sz w:val="24"/>
        </w:rPr>
        <w:tab/>
      </w:r>
      <w:r w:rsidR="00DF08C9">
        <w:rPr>
          <w:sz w:val="24"/>
        </w:rPr>
        <w:t>∆</w:t>
      </w:r>
      <w:r w:rsidRPr="003973EE">
        <w:rPr>
          <w:sz w:val="24"/>
        </w:rPr>
        <w:t xml:space="preserve">kWh/year = </w:t>
      </w:r>
      <w:r w:rsidRPr="003973EE">
        <w:rPr>
          <w:bCs/>
          <w:sz w:val="24"/>
        </w:rPr>
        <w:t xml:space="preserve">470 </w:t>
      </w:r>
    </w:p>
    <w:p w14:paraId="3FD2C531" w14:textId="77777777" w:rsidR="003973EE" w:rsidRPr="003973EE" w:rsidRDefault="003973EE" w:rsidP="00985ECC">
      <w:pPr>
        <w:spacing w:after="0"/>
        <w:rPr>
          <w:bCs/>
          <w:sz w:val="24"/>
        </w:rPr>
      </w:pPr>
      <w:r w:rsidRPr="003973EE">
        <w:rPr>
          <w:bCs/>
          <w:sz w:val="24"/>
        </w:rPr>
        <w:t xml:space="preserve"> </w:t>
      </w:r>
    </w:p>
    <w:p w14:paraId="13E3C198" w14:textId="2EF277CB" w:rsidR="003973EE" w:rsidRPr="003973EE" w:rsidRDefault="003973EE" w:rsidP="00985ECC">
      <w:pPr>
        <w:spacing w:after="0"/>
        <w:rPr>
          <w:bCs/>
          <w:sz w:val="24"/>
        </w:rPr>
      </w:pPr>
      <w:r w:rsidRPr="003973EE">
        <w:rPr>
          <w:bCs/>
          <w:sz w:val="24"/>
        </w:rPr>
        <w:t xml:space="preserve">Attic/roof/ceiling insulation – electric resistance heat load savings:                             </w:t>
      </w:r>
      <w:r w:rsidR="0032417B">
        <w:rPr>
          <w:bCs/>
          <w:sz w:val="24"/>
        </w:rPr>
        <w:tab/>
      </w:r>
      <w:r w:rsidR="00DF08C9">
        <w:rPr>
          <w:sz w:val="24"/>
        </w:rPr>
        <w:t>∆</w:t>
      </w:r>
      <w:r w:rsidRPr="003973EE">
        <w:rPr>
          <w:sz w:val="24"/>
        </w:rPr>
        <w:t xml:space="preserve">kWh/year = </w:t>
      </w:r>
      <w:r w:rsidRPr="003973EE">
        <w:rPr>
          <w:bCs/>
          <w:sz w:val="24"/>
        </w:rPr>
        <w:t xml:space="preserve">940 </w:t>
      </w:r>
    </w:p>
    <w:p w14:paraId="2386A110" w14:textId="77777777" w:rsidR="003973EE" w:rsidRPr="003973EE" w:rsidRDefault="003973EE" w:rsidP="00985ECC">
      <w:pPr>
        <w:spacing w:after="0"/>
        <w:rPr>
          <w:bCs/>
          <w:sz w:val="24"/>
        </w:rPr>
      </w:pPr>
    </w:p>
    <w:p w14:paraId="7EDDA92B" w14:textId="3C2A0769" w:rsidR="003973EE" w:rsidRDefault="003973EE" w:rsidP="00985ECC">
      <w:pPr>
        <w:spacing w:after="0"/>
        <w:rPr>
          <w:bCs/>
          <w:sz w:val="24"/>
        </w:rPr>
      </w:pPr>
      <w:r w:rsidRPr="003973EE">
        <w:rPr>
          <w:bCs/>
          <w:sz w:val="24"/>
        </w:rPr>
        <w:t xml:space="preserve">Attic/roof/ceiling insulation – fossil fuel heat load savings:                                           </w:t>
      </w:r>
      <w:r w:rsidR="0032417B">
        <w:rPr>
          <w:bCs/>
          <w:sz w:val="24"/>
        </w:rPr>
        <w:tab/>
      </w:r>
      <w:r w:rsidR="00DF08C9">
        <w:rPr>
          <w:sz w:val="24"/>
        </w:rPr>
        <w:t>∆</w:t>
      </w:r>
      <w:r w:rsidRPr="003973EE">
        <w:rPr>
          <w:sz w:val="24"/>
        </w:rPr>
        <w:t xml:space="preserve">MMBTU/year = </w:t>
      </w:r>
      <w:r w:rsidRPr="003973EE">
        <w:rPr>
          <w:bCs/>
          <w:sz w:val="24"/>
        </w:rPr>
        <w:t xml:space="preserve">4.86 </w:t>
      </w:r>
    </w:p>
    <w:p w14:paraId="7B2AAB79" w14:textId="77777777" w:rsidR="00550F13" w:rsidRDefault="00550F13" w:rsidP="00985ECC">
      <w:pPr>
        <w:spacing w:after="0"/>
        <w:rPr>
          <w:bCs/>
          <w:sz w:val="24"/>
        </w:rPr>
      </w:pPr>
    </w:p>
    <w:p w14:paraId="2F012836" w14:textId="23F0FD38" w:rsidR="00550F13" w:rsidRPr="00DC66B9" w:rsidRDefault="00550F13" w:rsidP="00985ECC">
      <w:pPr>
        <w:spacing w:after="0"/>
        <w:rPr>
          <w:b/>
          <w:bCs/>
          <w:sz w:val="24"/>
          <w:u w:val="single"/>
        </w:rPr>
      </w:pPr>
      <w:r w:rsidRPr="00DC66B9">
        <w:rPr>
          <w:b/>
          <w:bCs/>
          <w:sz w:val="24"/>
          <w:u w:val="single"/>
        </w:rPr>
        <w:t>Crawl Space Insulation Measures</w:t>
      </w:r>
    </w:p>
    <w:p w14:paraId="5A705EC8" w14:textId="77777777" w:rsidR="00550F13" w:rsidRDefault="00550F13" w:rsidP="00985ECC">
      <w:pPr>
        <w:spacing w:after="0"/>
        <w:rPr>
          <w:bCs/>
          <w:sz w:val="24"/>
        </w:rPr>
      </w:pPr>
    </w:p>
    <w:p w14:paraId="6F2F09A9" w14:textId="2868D155" w:rsidR="00550F13" w:rsidRPr="003973EE" w:rsidRDefault="00550F13" w:rsidP="00985ECC">
      <w:pPr>
        <w:spacing w:after="0"/>
        <w:rPr>
          <w:sz w:val="24"/>
        </w:rPr>
      </w:pPr>
      <w:r w:rsidRPr="00F33108">
        <w:t xml:space="preserve">Crawl Space Insulation and Encapsulation – electric </w:t>
      </w:r>
      <w:r w:rsidR="007E58B3" w:rsidRPr="00F33108">
        <w:t>h</w:t>
      </w:r>
      <w:r w:rsidRPr="00F33108">
        <w:t xml:space="preserve">eat: </w:t>
      </w:r>
      <w:r w:rsidRPr="00F33108">
        <w:tab/>
      </w:r>
      <w:r w:rsidRPr="00F33108">
        <w:tab/>
      </w:r>
      <w:r w:rsidRPr="00F33108">
        <w:tab/>
      </w:r>
      <w:r w:rsidRPr="00F33108">
        <w:tab/>
      </w:r>
      <w:r w:rsidR="0032417B" w:rsidRPr="00F33108">
        <w:tab/>
      </w:r>
      <w:r w:rsidR="007E58B3">
        <w:rPr>
          <w:sz w:val="24"/>
        </w:rPr>
        <w:t>∆</w:t>
      </w:r>
      <w:r w:rsidR="007E58B3" w:rsidRPr="003973EE">
        <w:rPr>
          <w:sz w:val="24"/>
        </w:rPr>
        <w:t xml:space="preserve">kWh/year = </w:t>
      </w:r>
      <w:r w:rsidR="007E58B3" w:rsidRPr="00F33108">
        <w:t>1,040</w:t>
      </w:r>
      <w:r w:rsidRPr="00F33108">
        <w:br/>
      </w:r>
      <w:r w:rsidRPr="00F33108">
        <w:br/>
        <w:t>Crawl Spa</w:t>
      </w:r>
      <w:r w:rsidR="007E58B3" w:rsidRPr="00F33108">
        <w:t>ce Insulation and Encapsulation – fossil fuel h</w:t>
      </w:r>
      <w:r w:rsidRPr="00F33108">
        <w:t xml:space="preserve">eat: </w:t>
      </w:r>
      <w:r w:rsidR="007E58B3" w:rsidRPr="00F33108">
        <w:tab/>
      </w:r>
      <w:r w:rsidR="007E58B3" w:rsidRPr="00F33108">
        <w:tab/>
      </w:r>
      <w:r w:rsidR="007E58B3" w:rsidRPr="00F33108">
        <w:tab/>
      </w:r>
      <w:r w:rsidR="007E58B3" w:rsidRPr="00F33108">
        <w:tab/>
      </w:r>
      <w:r w:rsidR="0032417B">
        <w:tab/>
      </w:r>
      <w:r w:rsidR="007E58B3">
        <w:rPr>
          <w:sz w:val="24"/>
        </w:rPr>
        <w:t>∆MMBtu</w:t>
      </w:r>
      <w:r w:rsidR="007E58B3" w:rsidRPr="003973EE">
        <w:rPr>
          <w:sz w:val="24"/>
        </w:rPr>
        <w:t xml:space="preserve">/year = </w:t>
      </w:r>
      <w:r w:rsidRPr="00F33108">
        <w:t>12.7</w:t>
      </w:r>
    </w:p>
    <w:p w14:paraId="18AFC5F8" w14:textId="77777777" w:rsidR="003973EE" w:rsidRPr="003973EE" w:rsidRDefault="003973EE" w:rsidP="00985ECC">
      <w:pPr>
        <w:spacing w:after="0"/>
        <w:rPr>
          <w:sz w:val="24"/>
        </w:rPr>
      </w:pPr>
    </w:p>
    <w:p w14:paraId="2A4A6B93" w14:textId="77777777" w:rsidR="003973EE" w:rsidRPr="003973EE" w:rsidRDefault="003973EE" w:rsidP="00985ECC">
      <w:pPr>
        <w:spacing w:after="0"/>
        <w:rPr>
          <w:b/>
          <w:bCs/>
          <w:sz w:val="24"/>
        </w:rPr>
      </w:pPr>
      <w:r w:rsidRPr="003973EE">
        <w:rPr>
          <w:b/>
          <w:bCs/>
          <w:sz w:val="24"/>
          <w:u w:val="single"/>
        </w:rPr>
        <w:t>Water Related Measures</w:t>
      </w:r>
    </w:p>
    <w:p w14:paraId="040DADE3" w14:textId="77777777" w:rsidR="003973EE" w:rsidRPr="003973EE" w:rsidRDefault="003973EE" w:rsidP="00985ECC">
      <w:pPr>
        <w:spacing w:after="0"/>
        <w:rPr>
          <w:bCs/>
          <w:sz w:val="24"/>
        </w:rPr>
      </w:pPr>
    </w:p>
    <w:p w14:paraId="1BD49BE2" w14:textId="77777777" w:rsidR="003973EE" w:rsidRPr="003973EE" w:rsidRDefault="003973EE" w:rsidP="00985ECC">
      <w:pPr>
        <w:spacing w:after="0"/>
        <w:rPr>
          <w:bCs/>
          <w:sz w:val="24"/>
        </w:rPr>
      </w:pPr>
      <w:r w:rsidRPr="003973EE">
        <w:rPr>
          <w:bCs/>
          <w:sz w:val="24"/>
        </w:rPr>
        <w:t>Low flow showerhead:</w:t>
      </w:r>
    </w:p>
    <w:p w14:paraId="466CEC57" w14:textId="275F9523" w:rsidR="003973EE" w:rsidRPr="003973EE" w:rsidRDefault="003973EE" w:rsidP="00985ECC">
      <w:pPr>
        <w:numPr>
          <w:ilvl w:val="0"/>
          <w:numId w:val="16"/>
        </w:numPr>
        <w:spacing w:after="0"/>
        <w:rPr>
          <w:bCs/>
          <w:sz w:val="24"/>
        </w:rPr>
      </w:pPr>
      <w:r w:rsidRPr="003973EE">
        <w:rPr>
          <w:bCs/>
          <w:sz w:val="24"/>
        </w:rPr>
        <w:t xml:space="preserve">In a home with an electric domestic water heater:                                   </w:t>
      </w:r>
      <w:r w:rsidR="00433DFA">
        <w:rPr>
          <w:bCs/>
          <w:sz w:val="24"/>
        </w:rPr>
        <w:tab/>
      </w:r>
      <w:r w:rsidR="00433DFA">
        <w:rPr>
          <w:bCs/>
          <w:sz w:val="24"/>
        </w:rPr>
        <w:tab/>
      </w:r>
      <w:r w:rsidR="00DF08C9">
        <w:rPr>
          <w:sz w:val="24"/>
        </w:rPr>
        <w:t>∆</w:t>
      </w:r>
      <w:r w:rsidRPr="003973EE">
        <w:rPr>
          <w:sz w:val="24"/>
        </w:rPr>
        <w:t xml:space="preserve">kWh/year = </w:t>
      </w:r>
      <w:r w:rsidRPr="003973EE">
        <w:rPr>
          <w:bCs/>
          <w:sz w:val="24"/>
        </w:rPr>
        <w:t xml:space="preserve">168 </w:t>
      </w:r>
    </w:p>
    <w:p w14:paraId="5BB3AB22" w14:textId="77777777" w:rsidR="003973EE" w:rsidRPr="003973EE" w:rsidRDefault="003973EE" w:rsidP="00985ECC">
      <w:pPr>
        <w:spacing w:after="0"/>
        <w:rPr>
          <w:bCs/>
          <w:sz w:val="24"/>
        </w:rPr>
      </w:pPr>
    </w:p>
    <w:p w14:paraId="16B915EA" w14:textId="36571B90" w:rsidR="003973EE" w:rsidRPr="003973EE" w:rsidRDefault="003973EE" w:rsidP="00985ECC">
      <w:pPr>
        <w:numPr>
          <w:ilvl w:val="0"/>
          <w:numId w:val="16"/>
        </w:numPr>
        <w:spacing w:after="0"/>
        <w:rPr>
          <w:bCs/>
          <w:sz w:val="24"/>
        </w:rPr>
      </w:pPr>
      <w:r w:rsidRPr="003973EE">
        <w:rPr>
          <w:bCs/>
          <w:sz w:val="24"/>
        </w:rPr>
        <w:t xml:space="preserve">In a home with a fossil fuel domestic water heater:                                  </w:t>
      </w:r>
      <w:r w:rsidR="00433DFA">
        <w:rPr>
          <w:bCs/>
          <w:sz w:val="24"/>
        </w:rPr>
        <w:tab/>
      </w:r>
      <w:r w:rsidR="00433DFA">
        <w:rPr>
          <w:bCs/>
          <w:sz w:val="24"/>
        </w:rPr>
        <w:tab/>
      </w:r>
      <w:r w:rsidR="00DF08C9">
        <w:rPr>
          <w:sz w:val="24"/>
        </w:rPr>
        <w:t>∆</w:t>
      </w:r>
      <w:r w:rsidRPr="003973EE">
        <w:rPr>
          <w:sz w:val="24"/>
        </w:rPr>
        <w:t xml:space="preserve">MMBTU/year = </w:t>
      </w:r>
      <w:r w:rsidRPr="003973EE">
        <w:rPr>
          <w:bCs/>
          <w:sz w:val="24"/>
        </w:rPr>
        <w:t xml:space="preserve">0.75 </w:t>
      </w:r>
    </w:p>
    <w:p w14:paraId="558A6E53" w14:textId="77777777" w:rsidR="003973EE" w:rsidRPr="003973EE" w:rsidRDefault="003973EE" w:rsidP="00985ECC">
      <w:pPr>
        <w:spacing w:after="0"/>
        <w:rPr>
          <w:bCs/>
          <w:sz w:val="24"/>
        </w:rPr>
      </w:pPr>
    </w:p>
    <w:p w14:paraId="3AB74875" w14:textId="77777777" w:rsidR="003973EE" w:rsidRPr="003973EE" w:rsidRDefault="003973EE" w:rsidP="00985ECC">
      <w:pPr>
        <w:spacing w:after="0"/>
        <w:rPr>
          <w:bCs/>
          <w:sz w:val="24"/>
        </w:rPr>
      </w:pPr>
      <w:r w:rsidRPr="003973EE">
        <w:rPr>
          <w:bCs/>
          <w:sz w:val="24"/>
        </w:rPr>
        <w:t>Faucet aerators:</w:t>
      </w:r>
    </w:p>
    <w:p w14:paraId="24639655" w14:textId="77777777" w:rsidR="003973EE" w:rsidRPr="003973EE" w:rsidRDefault="003973EE" w:rsidP="00985ECC">
      <w:pPr>
        <w:spacing w:after="0"/>
        <w:rPr>
          <w:bCs/>
          <w:sz w:val="24"/>
        </w:rPr>
      </w:pPr>
    </w:p>
    <w:p w14:paraId="1B8B0EF3" w14:textId="32A8E26B" w:rsidR="003973EE" w:rsidRPr="003973EE" w:rsidRDefault="003973EE" w:rsidP="00985ECC">
      <w:pPr>
        <w:numPr>
          <w:ilvl w:val="0"/>
          <w:numId w:val="17"/>
        </w:numPr>
        <w:spacing w:after="0"/>
        <w:rPr>
          <w:bCs/>
          <w:sz w:val="24"/>
        </w:rPr>
      </w:pPr>
      <w:r w:rsidRPr="003973EE">
        <w:rPr>
          <w:bCs/>
          <w:sz w:val="24"/>
        </w:rPr>
        <w:t xml:space="preserve">In a home with an electric domestic water heater:                                    </w:t>
      </w:r>
      <w:r w:rsidR="00433DFA">
        <w:rPr>
          <w:bCs/>
          <w:sz w:val="24"/>
        </w:rPr>
        <w:tab/>
      </w:r>
      <w:r w:rsidR="00433DFA">
        <w:rPr>
          <w:bCs/>
          <w:sz w:val="24"/>
        </w:rPr>
        <w:tab/>
      </w:r>
      <w:r w:rsidR="00DF08C9">
        <w:rPr>
          <w:sz w:val="24"/>
        </w:rPr>
        <w:t>∆</w:t>
      </w:r>
      <w:r w:rsidRPr="003973EE">
        <w:rPr>
          <w:sz w:val="24"/>
        </w:rPr>
        <w:t xml:space="preserve">kWh/year = </w:t>
      </w:r>
      <w:r w:rsidRPr="003973EE">
        <w:rPr>
          <w:bCs/>
          <w:sz w:val="24"/>
        </w:rPr>
        <w:t xml:space="preserve">29 </w:t>
      </w:r>
    </w:p>
    <w:p w14:paraId="40C95279" w14:textId="77777777" w:rsidR="003973EE" w:rsidRPr="003973EE" w:rsidRDefault="003973EE" w:rsidP="00985ECC">
      <w:pPr>
        <w:spacing w:after="0"/>
        <w:rPr>
          <w:bCs/>
          <w:sz w:val="24"/>
        </w:rPr>
      </w:pPr>
    </w:p>
    <w:p w14:paraId="066DCFC4" w14:textId="4DE2AF1D" w:rsidR="003973EE" w:rsidRPr="003973EE" w:rsidRDefault="003973EE" w:rsidP="00985ECC">
      <w:pPr>
        <w:numPr>
          <w:ilvl w:val="0"/>
          <w:numId w:val="17"/>
        </w:numPr>
        <w:spacing w:after="0"/>
        <w:rPr>
          <w:bCs/>
          <w:sz w:val="24"/>
        </w:rPr>
      </w:pPr>
      <w:r w:rsidRPr="003973EE">
        <w:rPr>
          <w:bCs/>
          <w:sz w:val="24"/>
        </w:rPr>
        <w:t xml:space="preserve">In a home with a fossil fuel domestic water heater:                                  </w:t>
      </w:r>
      <w:r w:rsidR="00433DFA">
        <w:rPr>
          <w:bCs/>
          <w:sz w:val="24"/>
        </w:rPr>
        <w:tab/>
      </w:r>
      <w:r w:rsidR="00433DFA">
        <w:rPr>
          <w:bCs/>
          <w:sz w:val="24"/>
        </w:rPr>
        <w:tab/>
      </w:r>
      <w:r w:rsidR="00DF08C9">
        <w:rPr>
          <w:sz w:val="24"/>
        </w:rPr>
        <w:t>∆</w:t>
      </w:r>
      <w:r w:rsidRPr="003973EE">
        <w:rPr>
          <w:sz w:val="24"/>
        </w:rPr>
        <w:t xml:space="preserve">MMBTU/yr = </w:t>
      </w:r>
      <w:r w:rsidRPr="003973EE">
        <w:rPr>
          <w:bCs/>
          <w:sz w:val="24"/>
        </w:rPr>
        <w:t xml:space="preserve">0.128 </w:t>
      </w:r>
    </w:p>
    <w:p w14:paraId="3DC84395" w14:textId="77777777" w:rsidR="003973EE" w:rsidRPr="003973EE" w:rsidRDefault="003973EE" w:rsidP="00985ECC">
      <w:pPr>
        <w:spacing w:after="0"/>
        <w:rPr>
          <w:bCs/>
          <w:sz w:val="24"/>
        </w:rPr>
      </w:pPr>
    </w:p>
    <w:p w14:paraId="46D57981" w14:textId="0C64C467" w:rsidR="003973EE" w:rsidRPr="003973EE" w:rsidRDefault="003973EE" w:rsidP="00985ECC">
      <w:pPr>
        <w:spacing w:after="0"/>
        <w:rPr>
          <w:bCs/>
          <w:sz w:val="24"/>
        </w:rPr>
      </w:pPr>
      <w:r w:rsidRPr="003973EE">
        <w:rPr>
          <w:bCs/>
          <w:sz w:val="24"/>
        </w:rPr>
        <w:t>Domestic hot water tank wrap</w:t>
      </w:r>
      <w:r w:rsidRPr="003973EE">
        <w:rPr>
          <w:bCs/>
          <w:sz w:val="24"/>
          <w:vertAlign w:val="superscript"/>
        </w:rPr>
        <w:footnoteReference w:id="5"/>
      </w:r>
      <w:r w:rsidRPr="003973EE">
        <w:rPr>
          <w:bCs/>
          <w:sz w:val="24"/>
        </w:rPr>
        <w:t xml:space="preserve">: </w:t>
      </w:r>
      <w:r w:rsidRPr="003973EE">
        <w:rPr>
          <w:bCs/>
          <w:sz w:val="24"/>
        </w:rPr>
        <w:tab/>
      </w:r>
      <w:r w:rsidRPr="003973EE">
        <w:rPr>
          <w:bCs/>
          <w:sz w:val="24"/>
        </w:rPr>
        <w:tab/>
      </w:r>
      <w:r w:rsidRPr="003973EE">
        <w:rPr>
          <w:bCs/>
          <w:sz w:val="24"/>
        </w:rPr>
        <w:tab/>
      </w:r>
      <w:r w:rsidRPr="003973EE">
        <w:rPr>
          <w:bCs/>
          <w:sz w:val="24"/>
        </w:rPr>
        <w:tab/>
      </w:r>
      <w:r w:rsidRPr="003973EE">
        <w:rPr>
          <w:bCs/>
          <w:sz w:val="24"/>
        </w:rPr>
        <w:tab/>
      </w:r>
      <w:r w:rsidRPr="003973EE">
        <w:rPr>
          <w:bCs/>
          <w:sz w:val="24"/>
        </w:rPr>
        <w:tab/>
      </w:r>
      <w:r w:rsidRPr="003973EE">
        <w:rPr>
          <w:bCs/>
          <w:sz w:val="24"/>
        </w:rPr>
        <w:tab/>
        <w:t xml:space="preserve">    </w:t>
      </w:r>
      <w:r w:rsidR="00433DFA">
        <w:rPr>
          <w:bCs/>
          <w:sz w:val="24"/>
        </w:rPr>
        <w:tab/>
      </w:r>
      <w:r w:rsidR="00DF08C9">
        <w:rPr>
          <w:sz w:val="24"/>
        </w:rPr>
        <w:t>∆</w:t>
      </w:r>
      <w:r w:rsidRPr="003973EE">
        <w:rPr>
          <w:sz w:val="24"/>
        </w:rPr>
        <w:t xml:space="preserve">kWh/year = </w:t>
      </w:r>
      <w:r w:rsidRPr="003973EE">
        <w:rPr>
          <w:bCs/>
          <w:sz w:val="24"/>
        </w:rPr>
        <w:t>79</w:t>
      </w:r>
    </w:p>
    <w:p w14:paraId="06A3238E" w14:textId="77777777" w:rsidR="003973EE" w:rsidRPr="003973EE" w:rsidRDefault="003973EE" w:rsidP="00985ECC">
      <w:pPr>
        <w:spacing w:after="0"/>
        <w:rPr>
          <w:bCs/>
          <w:sz w:val="24"/>
        </w:rPr>
      </w:pPr>
    </w:p>
    <w:p w14:paraId="3B97C252" w14:textId="77777777" w:rsidR="003973EE" w:rsidRPr="003973EE" w:rsidRDefault="003973EE" w:rsidP="00985ECC">
      <w:pPr>
        <w:spacing w:after="0"/>
        <w:rPr>
          <w:bCs/>
          <w:sz w:val="24"/>
        </w:rPr>
      </w:pPr>
      <w:r w:rsidRPr="003973EE">
        <w:rPr>
          <w:bCs/>
          <w:sz w:val="24"/>
        </w:rPr>
        <w:t>Domestic hot water pipe insulation:</w:t>
      </w:r>
    </w:p>
    <w:p w14:paraId="4806A56C" w14:textId="77777777" w:rsidR="003973EE" w:rsidRPr="003973EE" w:rsidRDefault="003973EE" w:rsidP="00985ECC">
      <w:pPr>
        <w:spacing w:after="0"/>
        <w:rPr>
          <w:bCs/>
          <w:sz w:val="24"/>
        </w:rPr>
      </w:pPr>
    </w:p>
    <w:p w14:paraId="4204EDB6" w14:textId="28477BF5" w:rsidR="003973EE" w:rsidRPr="003973EE" w:rsidRDefault="003973EE" w:rsidP="00985ECC">
      <w:pPr>
        <w:numPr>
          <w:ilvl w:val="0"/>
          <w:numId w:val="18"/>
        </w:numPr>
        <w:spacing w:after="0"/>
        <w:rPr>
          <w:bCs/>
          <w:sz w:val="24"/>
        </w:rPr>
      </w:pPr>
      <w:r w:rsidRPr="003973EE">
        <w:rPr>
          <w:bCs/>
          <w:sz w:val="24"/>
        </w:rPr>
        <w:t xml:space="preserve">In a home with an electric domestic water heater:  </w:t>
      </w:r>
      <w:r w:rsidRPr="003973EE">
        <w:rPr>
          <w:bCs/>
          <w:sz w:val="24"/>
        </w:rPr>
        <w:tab/>
      </w:r>
      <w:r w:rsidRPr="003973EE">
        <w:rPr>
          <w:bCs/>
          <w:sz w:val="24"/>
        </w:rPr>
        <w:tab/>
      </w:r>
      <w:r w:rsidRPr="003973EE">
        <w:rPr>
          <w:bCs/>
          <w:sz w:val="24"/>
        </w:rPr>
        <w:tab/>
        <w:t xml:space="preserve">    </w:t>
      </w:r>
      <w:r w:rsidR="0032417B">
        <w:rPr>
          <w:bCs/>
          <w:sz w:val="24"/>
        </w:rPr>
        <w:tab/>
      </w:r>
      <w:r w:rsidR="00DF08C9">
        <w:rPr>
          <w:sz w:val="24"/>
        </w:rPr>
        <w:t>∆</w:t>
      </w:r>
      <w:r w:rsidRPr="003973EE">
        <w:rPr>
          <w:sz w:val="24"/>
        </w:rPr>
        <w:t xml:space="preserve">kWh/year = </w:t>
      </w:r>
      <w:r w:rsidRPr="003973EE">
        <w:rPr>
          <w:bCs/>
          <w:sz w:val="24"/>
        </w:rPr>
        <w:t xml:space="preserve">95 </w:t>
      </w:r>
    </w:p>
    <w:p w14:paraId="522031EA" w14:textId="77777777" w:rsidR="003973EE" w:rsidRPr="003973EE" w:rsidRDefault="003973EE" w:rsidP="00985ECC">
      <w:pPr>
        <w:spacing w:after="0"/>
        <w:rPr>
          <w:bCs/>
          <w:sz w:val="24"/>
        </w:rPr>
      </w:pPr>
    </w:p>
    <w:p w14:paraId="3827ACD5" w14:textId="43B7C20E" w:rsidR="003973EE" w:rsidRPr="003973EE" w:rsidRDefault="003973EE" w:rsidP="00985ECC">
      <w:pPr>
        <w:numPr>
          <w:ilvl w:val="0"/>
          <w:numId w:val="18"/>
        </w:numPr>
        <w:spacing w:after="0"/>
        <w:rPr>
          <w:bCs/>
          <w:sz w:val="24"/>
        </w:rPr>
      </w:pPr>
      <w:r w:rsidRPr="003973EE">
        <w:rPr>
          <w:bCs/>
          <w:sz w:val="24"/>
        </w:rPr>
        <w:t xml:space="preserve">In a home with a fossil fuel domestic water heater:                                  </w:t>
      </w:r>
      <w:r w:rsidR="0032417B">
        <w:rPr>
          <w:bCs/>
          <w:sz w:val="24"/>
        </w:rPr>
        <w:tab/>
      </w:r>
      <w:r w:rsidR="0032417B">
        <w:rPr>
          <w:bCs/>
          <w:sz w:val="24"/>
        </w:rPr>
        <w:tab/>
      </w:r>
      <w:r w:rsidR="00DF08C9">
        <w:rPr>
          <w:sz w:val="24"/>
        </w:rPr>
        <w:t>∆</w:t>
      </w:r>
      <w:r w:rsidRPr="003973EE">
        <w:rPr>
          <w:sz w:val="24"/>
        </w:rPr>
        <w:t xml:space="preserve">MMBTU/yr = </w:t>
      </w:r>
      <w:r w:rsidRPr="003973EE">
        <w:rPr>
          <w:bCs/>
          <w:sz w:val="24"/>
        </w:rPr>
        <w:t xml:space="preserve">0.425 </w:t>
      </w:r>
    </w:p>
    <w:p w14:paraId="651E4483" w14:textId="77777777" w:rsidR="003973EE" w:rsidRPr="003973EE" w:rsidRDefault="003973EE" w:rsidP="00985ECC">
      <w:pPr>
        <w:spacing w:after="0"/>
        <w:rPr>
          <w:bCs/>
          <w:sz w:val="24"/>
        </w:rPr>
      </w:pPr>
    </w:p>
    <w:p w14:paraId="55374D53" w14:textId="26A4A26D" w:rsidR="003973EE" w:rsidRPr="003973EE" w:rsidRDefault="003973EE" w:rsidP="00985ECC">
      <w:pPr>
        <w:spacing w:after="0"/>
        <w:rPr>
          <w:bCs/>
          <w:sz w:val="24"/>
        </w:rPr>
      </w:pPr>
      <w:r w:rsidRPr="003973EE">
        <w:rPr>
          <w:bCs/>
          <w:sz w:val="24"/>
        </w:rPr>
        <w:t xml:space="preserve">Installation of an </w:t>
      </w:r>
      <w:r w:rsidR="00B87D58">
        <w:rPr>
          <w:bCs/>
          <w:sz w:val="24"/>
        </w:rPr>
        <w:t>ENERGY STAR</w:t>
      </w:r>
      <w:r w:rsidRPr="003973EE">
        <w:rPr>
          <w:bCs/>
          <w:sz w:val="24"/>
        </w:rPr>
        <w:t xml:space="preserve"> high efficiency gas storage water heater: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3.0 </w:t>
      </w:r>
    </w:p>
    <w:p w14:paraId="459E4D08" w14:textId="77777777" w:rsidR="003973EE" w:rsidRPr="003973EE" w:rsidRDefault="003973EE" w:rsidP="00985ECC">
      <w:pPr>
        <w:spacing w:after="0"/>
        <w:rPr>
          <w:bCs/>
          <w:sz w:val="24"/>
        </w:rPr>
      </w:pPr>
    </w:p>
    <w:p w14:paraId="64FE0A9D" w14:textId="4CF6CBFB" w:rsidR="003973EE" w:rsidRPr="003973EE" w:rsidRDefault="003973EE" w:rsidP="00985ECC">
      <w:pPr>
        <w:spacing w:after="0"/>
        <w:rPr>
          <w:bCs/>
          <w:sz w:val="24"/>
        </w:rPr>
      </w:pPr>
      <w:r w:rsidRPr="003973EE">
        <w:rPr>
          <w:bCs/>
          <w:sz w:val="24"/>
        </w:rPr>
        <w:t xml:space="preserve">Installation of an </w:t>
      </w:r>
      <w:r w:rsidR="00B87D58">
        <w:rPr>
          <w:bCs/>
          <w:sz w:val="24"/>
        </w:rPr>
        <w:t>ENERGY STAR</w:t>
      </w:r>
      <w:r w:rsidRPr="003973EE">
        <w:rPr>
          <w:bCs/>
          <w:sz w:val="24"/>
        </w:rPr>
        <w:t xml:space="preserve"> gas condensing water heater: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5.9 </w:t>
      </w:r>
    </w:p>
    <w:p w14:paraId="00EA19A8" w14:textId="77777777" w:rsidR="003973EE" w:rsidRPr="003973EE" w:rsidRDefault="003973EE" w:rsidP="00985ECC">
      <w:pPr>
        <w:spacing w:after="0"/>
        <w:rPr>
          <w:bCs/>
          <w:sz w:val="24"/>
        </w:rPr>
      </w:pPr>
    </w:p>
    <w:p w14:paraId="2FE6F5BC" w14:textId="23120C34" w:rsidR="003973EE" w:rsidRPr="003973EE" w:rsidRDefault="003973EE" w:rsidP="00985ECC">
      <w:pPr>
        <w:spacing w:after="0"/>
        <w:rPr>
          <w:bCs/>
          <w:sz w:val="24"/>
        </w:rPr>
      </w:pPr>
      <w:r w:rsidRPr="003973EE">
        <w:rPr>
          <w:bCs/>
          <w:sz w:val="24"/>
        </w:rPr>
        <w:t xml:space="preserve">Installation of an </w:t>
      </w:r>
      <w:r w:rsidR="00B87D58">
        <w:rPr>
          <w:bCs/>
          <w:sz w:val="24"/>
        </w:rPr>
        <w:t>ENERGY STAR</w:t>
      </w:r>
      <w:r w:rsidRPr="003973EE">
        <w:rPr>
          <w:bCs/>
          <w:sz w:val="24"/>
        </w:rPr>
        <w:t xml:space="preserve"> whole home tankless water heater:                        </w:t>
      </w:r>
      <w:r w:rsidR="0032417B">
        <w:rPr>
          <w:bCs/>
          <w:sz w:val="24"/>
        </w:rPr>
        <w:tab/>
      </w:r>
      <w:r w:rsidR="0032417B">
        <w:rPr>
          <w:bCs/>
          <w:sz w:val="24"/>
        </w:rPr>
        <w:tab/>
      </w:r>
      <w:r w:rsidR="00DF08C9">
        <w:rPr>
          <w:sz w:val="24"/>
        </w:rPr>
        <w:t>∆</w:t>
      </w:r>
      <w:r w:rsidRPr="003973EE">
        <w:rPr>
          <w:sz w:val="24"/>
        </w:rPr>
        <w:t xml:space="preserve">MMBTU/year = </w:t>
      </w:r>
      <w:r w:rsidRPr="003973EE">
        <w:rPr>
          <w:bCs/>
          <w:sz w:val="24"/>
        </w:rPr>
        <w:t xml:space="preserve">6.3 </w:t>
      </w:r>
    </w:p>
    <w:p w14:paraId="4A6DED83" w14:textId="77777777" w:rsidR="003973EE" w:rsidRPr="003973EE" w:rsidRDefault="003973EE" w:rsidP="003973EE">
      <w:pPr>
        <w:rPr>
          <w:bCs/>
          <w:sz w:val="24"/>
        </w:rPr>
      </w:pPr>
    </w:p>
    <w:p w14:paraId="763D931D" w14:textId="77777777" w:rsidR="003973EE" w:rsidRPr="003973EE" w:rsidRDefault="003973EE" w:rsidP="003973EE">
      <w:pPr>
        <w:rPr>
          <w:b/>
          <w:bCs/>
          <w:sz w:val="24"/>
          <w:u w:val="single"/>
        </w:rPr>
      </w:pPr>
      <w:r w:rsidRPr="003973EE">
        <w:rPr>
          <w:b/>
          <w:bCs/>
          <w:sz w:val="24"/>
          <w:u w:val="single"/>
        </w:rPr>
        <w:t>Sample Energy Savings Calculation</w:t>
      </w:r>
    </w:p>
    <w:p w14:paraId="3341C3DC" w14:textId="60EABCD5" w:rsidR="003973EE" w:rsidRPr="003973EE" w:rsidRDefault="003973EE" w:rsidP="003973EE">
      <w:pPr>
        <w:rPr>
          <w:bCs/>
          <w:sz w:val="24"/>
        </w:rPr>
      </w:pPr>
      <w:r w:rsidRPr="003973EE">
        <w:rPr>
          <w:bCs/>
          <w:sz w:val="24"/>
        </w:rPr>
        <w:t xml:space="preserve">A sample energy savings calculation using the provided residential energy savings assumptions is shown below.  Each grant application should include a similar breakdown of estimated energy savings, by technology, in </w:t>
      </w:r>
      <w:r w:rsidRPr="003973EE">
        <w:rPr>
          <w:bCs/>
          <w:i/>
          <w:sz w:val="24"/>
        </w:rPr>
        <w:t xml:space="preserve">Section </w:t>
      </w:r>
      <w:r w:rsidR="00027AA2">
        <w:rPr>
          <w:bCs/>
          <w:i/>
          <w:sz w:val="24"/>
        </w:rPr>
        <w:t>16</w:t>
      </w:r>
      <w:r w:rsidRPr="003973EE">
        <w:rPr>
          <w:bCs/>
          <w:i/>
          <w:sz w:val="24"/>
        </w:rPr>
        <w:t xml:space="preserve">: Annual </w:t>
      </w:r>
      <w:r w:rsidR="00027AA2">
        <w:rPr>
          <w:bCs/>
          <w:i/>
          <w:sz w:val="24"/>
        </w:rPr>
        <w:t xml:space="preserve">Estimated </w:t>
      </w:r>
      <w:r w:rsidRPr="003973EE">
        <w:rPr>
          <w:bCs/>
          <w:i/>
          <w:sz w:val="24"/>
        </w:rPr>
        <w:t>Energy Savings</w:t>
      </w:r>
      <w:r w:rsidRPr="003973EE">
        <w:rPr>
          <w:bCs/>
          <w:sz w:val="24"/>
        </w:rPr>
        <w:t>. Lengthy calculations can be included as a separate attachment referenced in the application.</w:t>
      </w:r>
    </w:p>
    <w:p w14:paraId="0F2C2100" w14:textId="2CBD29E8" w:rsidR="003973EE" w:rsidRPr="003973EE" w:rsidRDefault="00985ECC" w:rsidP="003973EE">
      <w:pPr>
        <w:rPr>
          <w:bCs/>
          <w:sz w:val="24"/>
        </w:rPr>
      </w:pPr>
      <w:r>
        <w:rPr>
          <w:b/>
          <w:bCs/>
          <w:sz w:val="24"/>
          <w:u w:val="single"/>
        </w:rPr>
        <w:t>E</w:t>
      </w:r>
      <w:r w:rsidR="003973EE" w:rsidRPr="003973EE">
        <w:rPr>
          <w:b/>
          <w:bCs/>
          <w:sz w:val="24"/>
          <w:u w:val="single"/>
        </w:rPr>
        <w:t>xample</w:t>
      </w:r>
      <w:r w:rsidR="003973EE" w:rsidRPr="003973EE">
        <w:rPr>
          <w:bCs/>
          <w:sz w:val="24"/>
        </w:rPr>
        <w:t>:  A grant applicant proposes to complete three whole home retrofits. All three homes have electric heat pumps. Likely energy measures include air sealing and the installation of 1 low flow showerhe</w:t>
      </w:r>
      <w:r w:rsidR="00027AA2">
        <w:rPr>
          <w:bCs/>
          <w:sz w:val="24"/>
        </w:rPr>
        <w:t>ad, 2 faucet aerators, and 5 LED</w:t>
      </w:r>
      <w:r w:rsidR="003973EE" w:rsidRPr="003973EE">
        <w:rPr>
          <w:bCs/>
          <w:sz w:val="24"/>
        </w:rPr>
        <w:t>s per home.</w:t>
      </w:r>
    </w:p>
    <w:p w14:paraId="6E738870" w14:textId="77777777" w:rsidR="003973EE" w:rsidRPr="003973EE" w:rsidRDefault="003973EE" w:rsidP="003973EE">
      <w:pPr>
        <w:rPr>
          <w:bCs/>
          <w:sz w:val="24"/>
        </w:rPr>
      </w:pPr>
      <w:r w:rsidRPr="003973EE">
        <w:rPr>
          <w:bCs/>
          <w:sz w:val="24"/>
          <w:u w:val="single"/>
        </w:rPr>
        <w:t>For each electric home</w:t>
      </w:r>
      <w:r w:rsidRPr="003973EE">
        <w:rPr>
          <w:bCs/>
          <w:sz w:val="24"/>
        </w:rPr>
        <w:t>:</w:t>
      </w:r>
    </w:p>
    <w:p w14:paraId="61462559" w14:textId="74465D90" w:rsidR="003973EE" w:rsidRPr="003973EE" w:rsidRDefault="003973EE" w:rsidP="003973EE">
      <w:pPr>
        <w:rPr>
          <w:bCs/>
          <w:sz w:val="24"/>
        </w:rPr>
      </w:pPr>
      <w:r w:rsidRPr="003973EE">
        <w:rPr>
          <w:bCs/>
          <w:sz w:val="24"/>
        </w:rPr>
        <w:t xml:space="preserve">     Air sealing – air conditioning savings:        </w:t>
      </w:r>
      <w:r w:rsidRPr="003973EE">
        <w:rPr>
          <w:bCs/>
          <w:sz w:val="24"/>
        </w:rPr>
        <w:tab/>
      </w:r>
      <w:r w:rsidRPr="003973EE">
        <w:rPr>
          <w:bCs/>
          <w:sz w:val="24"/>
        </w:rPr>
        <w:tab/>
      </w:r>
      <w:r w:rsidRPr="003973EE">
        <w:rPr>
          <w:bCs/>
          <w:sz w:val="24"/>
        </w:rPr>
        <w:tab/>
      </w:r>
      <w:r w:rsidRPr="003973EE">
        <w:rPr>
          <w:bCs/>
          <w:sz w:val="24"/>
        </w:rPr>
        <w:tab/>
      </w:r>
      <w:r w:rsidR="00364EF6">
        <w:rPr>
          <w:bCs/>
          <w:sz w:val="24"/>
        </w:rPr>
        <w:tab/>
      </w:r>
      <w:r w:rsidR="00DF08C9">
        <w:rPr>
          <w:sz w:val="24"/>
        </w:rPr>
        <w:t>∆</w:t>
      </w:r>
      <w:r w:rsidRPr="003973EE">
        <w:rPr>
          <w:sz w:val="24"/>
        </w:rPr>
        <w:t xml:space="preserve">kWh/year = </w:t>
      </w:r>
      <w:r w:rsidRPr="003973EE">
        <w:rPr>
          <w:bCs/>
          <w:sz w:val="24"/>
        </w:rPr>
        <w:t xml:space="preserve">309 </w:t>
      </w:r>
    </w:p>
    <w:p w14:paraId="5B13C07D" w14:textId="77777777" w:rsidR="003973EE" w:rsidRPr="003973EE" w:rsidRDefault="003973EE" w:rsidP="003973EE">
      <w:pPr>
        <w:rPr>
          <w:bCs/>
          <w:sz w:val="24"/>
        </w:rPr>
      </w:pPr>
      <w:r w:rsidRPr="003973EE">
        <w:rPr>
          <w:bCs/>
          <w:sz w:val="24"/>
        </w:rPr>
        <w:t xml:space="preserve">     Air sealing – heat pump (heat only) savings:          </w:t>
      </w:r>
      <w:r w:rsidRPr="003973EE">
        <w:rPr>
          <w:bCs/>
          <w:sz w:val="24"/>
        </w:rPr>
        <w:tab/>
      </w:r>
      <w:r w:rsidRPr="003973EE">
        <w:rPr>
          <w:bCs/>
          <w:sz w:val="24"/>
        </w:rPr>
        <w:tab/>
      </w:r>
      <w:r w:rsidRPr="003973EE">
        <w:rPr>
          <w:bCs/>
          <w:sz w:val="24"/>
        </w:rPr>
        <w:tab/>
      </w:r>
      <w:r w:rsidR="00DF08C9">
        <w:rPr>
          <w:sz w:val="24"/>
        </w:rPr>
        <w:t>∆</w:t>
      </w:r>
      <w:r w:rsidRPr="003973EE">
        <w:rPr>
          <w:sz w:val="24"/>
        </w:rPr>
        <w:t xml:space="preserve">kWh/year = </w:t>
      </w:r>
      <w:r w:rsidRPr="003973EE">
        <w:rPr>
          <w:bCs/>
          <w:sz w:val="24"/>
        </w:rPr>
        <w:t xml:space="preserve">943 </w:t>
      </w:r>
    </w:p>
    <w:p w14:paraId="1FCC709A" w14:textId="5996CCAD" w:rsidR="003973EE" w:rsidRPr="003973EE" w:rsidRDefault="003973EE" w:rsidP="003973EE">
      <w:pPr>
        <w:rPr>
          <w:bCs/>
          <w:sz w:val="24"/>
        </w:rPr>
      </w:pPr>
      <w:r w:rsidRPr="003973EE">
        <w:rPr>
          <w:bCs/>
          <w:sz w:val="24"/>
        </w:rPr>
        <w:t xml:space="preserve">     Low flow showerhead in a home with an electric water heater:             </w:t>
      </w:r>
      <w:r w:rsidR="00364EF6">
        <w:rPr>
          <w:bCs/>
          <w:sz w:val="24"/>
        </w:rPr>
        <w:tab/>
      </w:r>
      <w:r w:rsidR="00DF08C9">
        <w:rPr>
          <w:sz w:val="24"/>
        </w:rPr>
        <w:t>∆</w:t>
      </w:r>
      <w:r w:rsidRPr="003973EE">
        <w:rPr>
          <w:sz w:val="24"/>
        </w:rPr>
        <w:t xml:space="preserve">kWh/year = </w:t>
      </w:r>
      <w:r w:rsidRPr="003973EE">
        <w:rPr>
          <w:bCs/>
          <w:sz w:val="24"/>
        </w:rPr>
        <w:t xml:space="preserve">168 </w:t>
      </w:r>
    </w:p>
    <w:p w14:paraId="01087AB9" w14:textId="0EA7C12A" w:rsidR="003973EE" w:rsidRPr="003973EE" w:rsidRDefault="003973EE" w:rsidP="003973EE">
      <w:pPr>
        <w:rPr>
          <w:bCs/>
          <w:sz w:val="24"/>
        </w:rPr>
      </w:pPr>
      <w:r w:rsidRPr="003973EE">
        <w:rPr>
          <w:bCs/>
          <w:sz w:val="24"/>
        </w:rPr>
        <w:t xml:space="preserve">     Faucet aerators in a home with an electric domestic water heater:       </w:t>
      </w:r>
      <w:r w:rsidR="00364EF6">
        <w:rPr>
          <w:bCs/>
          <w:sz w:val="24"/>
        </w:rPr>
        <w:t xml:space="preserve">  </w:t>
      </w:r>
      <w:r w:rsidR="00DF08C9">
        <w:rPr>
          <w:sz w:val="24"/>
        </w:rPr>
        <w:t>∆</w:t>
      </w:r>
      <w:r w:rsidRPr="003973EE">
        <w:rPr>
          <w:sz w:val="24"/>
        </w:rPr>
        <w:t xml:space="preserve">kWh/year = </w:t>
      </w:r>
      <w:r w:rsidRPr="003973EE">
        <w:rPr>
          <w:bCs/>
          <w:sz w:val="24"/>
        </w:rPr>
        <w:t>29 * 2 per home</w:t>
      </w:r>
    </w:p>
    <w:p w14:paraId="3D58B637" w14:textId="40835A09" w:rsidR="003973EE" w:rsidRPr="003973EE" w:rsidRDefault="003973EE" w:rsidP="003973EE">
      <w:pPr>
        <w:rPr>
          <w:bCs/>
          <w:sz w:val="24"/>
        </w:rPr>
      </w:pPr>
      <w:r w:rsidRPr="003973EE">
        <w:rPr>
          <w:bCs/>
          <w:sz w:val="24"/>
        </w:rPr>
        <w:t xml:space="preserve">     Replacement of an incandescent bulb with a CFL:  </w:t>
      </w:r>
      <w:r w:rsidRPr="003973EE">
        <w:rPr>
          <w:bCs/>
          <w:sz w:val="24"/>
        </w:rPr>
        <w:tab/>
      </w:r>
      <w:r w:rsidRPr="003973EE">
        <w:rPr>
          <w:bCs/>
          <w:sz w:val="24"/>
        </w:rPr>
        <w:tab/>
      </w:r>
      <w:r w:rsidRPr="003973EE">
        <w:rPr>
          <w:bCs/>
          <w:sz w:val="24"/>
        </w:rPr>
        <w:tab/>
      </w:r>
      <w:r w:rsidR="00DF08C9">
        <w:rPr>
          <w:sz w:val="24"/>
        </w:rPr>
        <w:t>∆</w:t>
      </w:r>
      <w:r w:rsidRPr="003973EE">
        <w:rPr>
          <w:sz w:val="24"/>
        </w:rPr>
        <w:t xml:space="preserve">kWh/year = </w:t>
      </w:r>
      <w:r w:rsidR="00C135C3">
        <w:rPr>
          <w:bCs/>
          <w:sz w:val="24"/>
        </w:rPr>
        <w:t>93.5</w:t>
      </w:r>
      <w:r w:rsidRPr="003973EE">
        <w:rPr>
          <w:bCs/>
          <w:sz w:val="24"/>
        </w:rPr>
        <w:t xml:space="preserve"> * 5 CFLs/home</w:t>
      </w:r>
    </w:p>
    <w:p w14:paraId="0F533FDD" w14:textId="77777777" w:rsidR="003973EE" w:rsidRPr="003973EE" w:rsidRDefault="003973EE" w:rsidP="003973EE">
      <w:pPr>
        <w:rPr>
          <w:bCs/>
          <w:sz w:val="24"/>
        </w:rPr>
      </w:pPr>
    </w:p>
    <w:p w14:paraId="07C5C519" w14:textId="61DC0A43" w:rsidR="003973EE" w:rsidRPr="003973EE" w:rsidRDefault="003973EE" w:rsidP="003973EE">
      <w:pPr>
        <w:rPr>
          <w:bCs/>
          <w:sz w:val="24"/>
        </w:rPr>
      </w:pPr>
      <w:r w:rsidRPr="003973EE">
        <w:rPr>
          <w:bCs/>
          <w:sz w:val="24"/>
        </w:rPr>
        <w:t xml:space="preserve">     </w:t>
      </w:r>
      <w:r w:rsidRPr="003973EE">
        <w:rPr>
          <w:bCs/>
          <w:sz w:val="24"/>
          <w:u w:val="single"/>
        </w:rPr>
        <w:t>Total anticipated energy savings per home</w:t>
      </w:r>
      <w:r w:rsidRPr="003973EE">
        <w:rPr>
          <w:bCs/>
          <w:sz w:val="24"/>
        </w:rPr>
        <w:t>:  (309+943+168+</w:t>
      </w:r>
      <w:r w:rsidR="00C135C3">
        <w:rPr>
          <w:bCs/>
          <w:sz w:val="24"/>
        </w:rPr>
        <w:t>(</w:t>
      </w:r>
      <w:r w:rsidRPr="003973EE">
        <w:rPr>
          <w:bCs/>
          <w:sz w:val="24"/>
        </w:rPr>
        <w:t>29*2</w:t>
      </w:r>
      <w:r w:rsidR="00C135C3">
        <w:rPr>
          <w:bCs/>
          <w:sz w:val="24"/>
        </w:rPr>
        <w:t>)</w:t>
      </w:r>
      <w:r w:rsidRPr="003973EE">
        <w:rPr>
          <w:bCs/>
          <w:sz w:val="24"/>
        </w:rPr>
        <w:t>+</w:t>
      </w:r>
      <w:r w:rsidR="00C135C3">
        <w:rPr>
          <w:bCs/>
          <w:sz w:val="24"/>
        </w:rPr>
        <w:t>(93.5</w:t>
      </w:r>
      <w:r w:rsidRPr="003973EE">
        <w:rPr>
          <w:bCs/>
          <w:sz w:val="24"/>
        </w:rPr>
        <w:t>*5</w:t>
      </w:r>
      <w:r w:rsidR="00C135C3">
        <w:rPr>
          <w:bCs/>
          <w:sz w:val="24"/>
        </w:rPr>
        <w:t>)) = 1,945.5</w:t>
      </w:r>
      <w:r w:rsidRPr="003973EE">
        <w:rPr>
          <w:bCs/>
          <w:sz w:val="24"/>
        </w:rPr>
        <w:t xml:space="preserve"> kWh/year</w:t>
      </w:r>
    </w:p>
    <w:p w14:paraId="49271252" w14:textId="5AE4FE76" w:rsidR="003973EE" w:rsidRPr="003973EE" w:rsidRDefault="003973EE" w:rsidP="003973EE">
      <w:pPr>
        <w:rPr>
          <w:bCs/>
          <w:sz w:val="24"/>
        </w:rPr>
      </w:pPr>
      <w:r w:rsidRPr="003973EE">
        <w:rPr>
          <w:bCs/>
          <w:sz w:val="24"/>
        </w:rPr>
        <w:t xml:space="preserve">     </w:t>
      </w:r>
      <w:r w:rsidRPr="003973EE">
        <w:rPr>
          <w:bCs/>
          <w:sz w:val="24"/>
          <w:u w:val="single"/>
        </w:rPr>
        <w:t>Total anticipated energy savings (entire project)</w:t>
      </w:r>
      <w:r w:rsidR="00C135C3">
        <w:rPr>
          <w:bCs/>
          <w:sz w:val="24"/>
        </w:rPr>
        <w:t xml:space="preserve"> = 5*1,945.5</w:t>
      </w:r>
      <w:r w:rsidRPr="003973EE">
        <w:rPr>
          <w:bCs/>
          <w:sz w:val="24"/>
        </w:rPr>
        <w:t xml:space="preserve"> kWh </w:t>
      </w:r>
      <w:r w:rsidR="00C135C3">
        <w:rPr>
          <w:bCs/>
          <w:sz w:val="24"/>
        </w:rPr>
        <w:t>= 9,727.5</w:t>
      </w:r>
      <w:r w:rsidRPr="003973EE">
        <w:rPr>
          <w:bCs/>
          <w:sz w:val="24"/>
        </w:rPr>
        <w:t xml:space="preserve"> kWh/year</w:t>
      </w:r>
    </w:p>
    <w:p w14:paraId="7AF69D24" w14:textId="77777777" w:rsidR="003973EE" w:rsidRPr="00F33108" w:rsidRDefault="003973EE" w:rsidP="003973EE">
      <w:pPr>
        <w:rPr>
          <w:b/>
          <w:sz w:val="24"/>
          <w:u w:val="single"/>
        </w:rPr>
      </w:pPr>
    </w:p>
    <w:tbl>
      <w:tblPr>
        <w:tblStyle w:val="TableGrid"/>
        <w:tblW w:w="0" w:type="auto"/>
        <w:tblLook w:val="04A0" w:firstRow="1" w:lastRow="0" w:firstColumn="1" w:lastColumn="0" w:noHBand="0" w:noVBand="1"/>
      </w:tblPr>
      <w:tblGrid>
        <w:gridCol w:w="10790"/>
      </w:tblGrid>
      <w:tr w:rsidR="0052651C" w14:paraId="2A0314CD" w14:textId="77777777" w:rsidTr="00790774">
        <w:tc>
          <w:tcPr>
            <w:tcW w:w="11016" w:type="dxa"/>
            <w:shd w:val="clear" w:color="auto" w:fill="DEEAF6" w:themeFill="accent1" w:themeFillTint="33"/>
          </w:tcPr>
          <w:p w14:paraId="566634C4" w14:textId="249E0AB6" w:rsidR="0052651C" w:rsidRPr="00802107" w:rsidRDefault="0052651C" w:rsidP="00790774">
            <w:pPr>
              <w:rPr>
                <w:b/>
                <w:bCs/>
                <w:sz w:val="24"/>
              </w:rPr>
            </w:pPr>
            <w:bookmarkStart w:id="5" w:name="Submission"/>
            <w:r>
              <w:rPr>
                <w:b/>
                <w:bCs/>
                <w:sz w:val="24"/>
              </w:rPr>
              <w:t>APPLICATION SUBMISSION</w:t>
            </w:r>
            <w:bookmarkEnd w:id="5"/>
          </w:p>
        </w:tc>
      </w:tr>
    </w:tbl>
    <w:p w14:paraId="6B4EBD7C" w14:textId="7EA33B26" w:rsidR="003973EE" w:rsidRPr="003973EE" w:rsidRDefault="003973EE" w:rsidP="00F33108">
      <w:pPr>
        <w:spacing w:before="120"/>
        <w:rPr>
          <w:bCs/>
          <w:sz w:val="24"/>
        </w:rPr>
      </w:pPr>
      <w:r w:rsidRPr="003973EE">
        <w:rPr>
          <w:bCs/>
          <w:sz w:val="24"/>
        </w:rPr>
        <w:t>Please use the grant application entitled “</w:t>
      </w:r>
      <w:r w:rsidR="000420F5">
        <w:rPr>
          <w:bCs/>
          <w:sz w:val="24"/>
        </w:rPr>
        <w:t>FY18 LMI County-allocated Application Form</w:t>
      </w:r>
      <w:r w:rsidRPr="003973EE">
        <w:rPr>
          <w:bCs/>
          <w:sz w:val="24"/>
        </w:rPr>
        <w:t xml:space="preserve">.” This document can be found on the </w:t>
      </w:r>
      <w:hyperlink r:id="rId15" w:history="1">
        <w:r w:rsidRPr="003973EE">
          <w:rPr>
            <w:rStyle w:val="Hyperlink"/>
            <w:bCs/>
            <w:sz w:val="24"/>
          </w:rPr>
          <w:t>Maryland Energy Administration Clean Energy Communities Low-to-Moderate Income Grant Program webpage</w:t>
        </w:r>
      </w:hyperlink>
      <w:r w:rsidRPr="003973EE">
        <w:rPr>
          <w:bCs/>
          <w:sz w:val="24"/>
        </w:rPr>
        <w:t xml:space="preserve">.  Additional supporting documents should be attached as necessary. </w:t>
      </w:r>
    </w:p>
    <w:p w14:paraId="0A8794E5" w14:textId="0002B755" w:rsidR="003973EE" w:rsidRPr="003973EE" w:rsidRDefault="003973EE" w:rsidP="003973EE">
      <w:pPr>
        <w:rPr>
          <w:bCs/>
          <w:sz w:val="24"/>
        </w:rPr>
      </w:pPr>
      <w:r w:rsidRPr="003973EE">
        <w:rPr>
          <w:bCs/>
          <w:sz w:val="24"/>
        </w:rPr>
        <w:t xml:space="preserve">For applicants applying for grants in multiple counties, a separate application must be submitted for each </w:t>
      </w:r>
      <w:r w:rsidR="003B0CEE">
        <w:rPr>
          <w:bCs/>
          <w:sz w:val="24"/>
        </w:rPr>
        <w:t>County</w:t>
      </w:r>
      <w:r w:rsidRPr="003973EE">
        <w:rPr>
          <w:bCs/>
          <w:sz w:val="24"/>
        </w:rPr>
        <w:t>-specific grant. Combined applications for multiple counties will not be evaluated.</w:t>
      </w:r>
    </w:p>
    <w:p w14:paraId="0E67CFCA" w14:textId="50D8677A" w:rsidR="003973EE" w:rsidRPr="003973EE" w:rsidRDefault="000A4237" w:rsidP="003973EE">
      <w:pPr>
        <w:rPr>
          <w:b/>
          <w:bCs/>
          <w:i/>
          <w:sz w:val="24"/>
        </w:rPr>
      </w:pPr>
      <w:r>
        <w:rPr>
          <w:b/>
          <w:bCs/>
          <w:sz w:val="24"/>
        </w:rPr>
        <w:t>Deadlines</w:t>
      </w:r>
      <w:r w:rsidR="003973EE" w:rsidRPr="0032417B">
        <w:rPr>
          <w:b/>
          <w:bCs/>
          <w:sz w:val="24"/>
        </w:rPr>
        <w:t xml:space="preserve"> for </w:t>
      </w:r>
      <w:r>
        <w:rPr>
          <w:b/>
          <w:bCs/>
          <w:sz w:val="24"/>
        </w:rPr>
        <w:t>Application Submission</w:t>
      </w:r>
    </w:p>
    <w:p w14:paraId="62A3E75A" w14:textId="77ADFFC2" w:rsidR="000A4237" w:rsidRPr="003973EE" w:rsidRDefault="000A4237" w:rsidP="000A4237">
      <w:pPr>
        <w:rPr>
          <w:b/>
          <w:bCs/>
          <w:sz w:val="24"/>
        </w:rPr>
      </w:pPr>
      <w:r>
        <w:rPr>
          <w:bCs/>
          <w:sz w:val="24"/>
        </w:rPr>
        <w:t>A</w:t>
      </w:r>
      <w:r w:rsidRPr="003973EE">
        <w:rPr>
          <w:bCs/>
          <w:sz w:val="24"/>
        </w:rPr>
        <w:t xml:space="preserve">pplications must be submitted to the Maryland Energy Administration by </w:t>
      </w:r>
      <w:r w:rsidRPr="00433DFA">
        <w:rPr>
          <w:b/>
          <w:bCs/>
          <w:sz w:val="24"/>
        </w:rPr>
        <w:t>Friday, October 6, 2017</w:t>
      </w:r>
      <w:r w:rsidRPr="003973EE">
        <w:rPr>
          <w:b/>
          <w:bCs/>
          <w:sz w:val="24"/>
        </w:rPr>
        <w:t xml:space="preserve">.  </w:t>
      </w:r>
    </w:p>
    <w:p w14:paraId="3F9B2D82" w14:textId="64636C14" w:rsidR="003973EE" w:rsidRPr="000A4237" w:rsidRDefault="000A4237" w:rsidP="00F33108">
      <w:pPr>
        <w:spacing w:after="0"/>
        <w:rPr>
          <w:sz w:val="24"/>
        </w:rPr>
      </w:pPr>
      <w:r>
        <w:rPr>
          <w:bCs/>
          <w:sz w:val="24"/>
        </w:rPr>
        <w:t>E</w:t>
      </w:r>
      <w:r w:rsidR="003973EE" w:rsidRPr="003973EE">
        <w:rPr>
          <w:bCs/>
          <w:sz w:val="24"/>
        </w:rPr>
        <w:t>mail</w:t>
      </w:r>
      <w:r w:rsidR="00B10069">
        <w:rPr>
          <w:bCs/>
          <w:sz w:val="24"/>
        </w:rPr>
        <w:t>ed applications, the preferred method of submission,</w:t>
      </w:r>
      <w:r>
        <w:rPr>
          <w:bCs/>
          <w:sz w:val="24"/>
        </w:rPr>
        <w:t xml:space="preserve"> are due by</w:t>
      </w:r>
      <w:r w:rsidRPr="000A4237">
        <w:rPr>
          <w:bCs/>
          <w:sz w:val="24"/>
        </w:rPr>
        <w:t xml:space="preserve"> </w:t>
      </w:r>
      <w:r>
        <w:rPr>
          <w:sz w:val="24"/>
        </w:rPr>
        <w:t>11:59 p.m.</w:t>
      </w:r>
      <w:r w:rsidR="00B10069">
        <w:rPr>
          <w:sz w:val="24"/>
        </w:rPr>
        <w:t xml:space="preserve"> on October 6, 2017.</w:t>
      </w:r>
    </w:p>
    <w:p w14:paraId="3F2DA5C0" w14:textId="0D2C7444" w:rsidR="008B0C5E" w:rsidRDefault="00B10069" w:rsidP="00F33108">
      <w:pPr>
        <w:spacing w:after="0"/>
        <w:rPr>
          <w:bCs/>
          <w:sz w:val="24"/>
        </w:rPr>
      </w:pPr>
      <w:r>
        <w:rPr>
          <w:sz w:val="24"/>
        </w:rPr>
        <w:t xml:space="preserve">All paper </w:t>
      </w:r>
      <w:r w:rsidR="000A4237">
        <w:rPr>
          <w:sz w:val="24"/>
        </w:rPr>
        <w:t xml:space="preserve">applications are due </w:t>
      </w:r>
      <w:r>
        <w:rPr>
          <w:sz w:val="24"/>
        </w:rPr>
        <w:t xml:space="preserve">onsite at the Maryland Energy Administration </w:t>
      </w:r>
      <w:r w:rsidR="000A4237">
        <w:rPr>
          <w:sz w:val="24"/>
        </w:rPr>
        <w:t>by</w:t>
      </w:r>
      <w:r w:rsidR="000A4237" w:rsidRPr="000A4237">
        <w:rPr>
          <w:sz w:val="24"/>
        </w:rPr>
        <w:t xml:space="preserve"> </w:t>
      </w:r>
      <w:r w:rsidR="009C4B7A" w:rsidRPr="000A4237">
        <w:rPr>
          <w:bCs/>
          <w:sz w:val="24"/>
        </w:rPr>
        <w:t xml:space="preserve">5:00 </w:t>
      </w:r>
      <w:r w:rsidR="000A4237">
        <w:rPr>
          <w:bCs/>
          <w:sz w:val="24"/>
        </w:rPr>
        <w:t>p.m.</w:t>
      </w:r>
      <w:r>
        <w:rPr>
          <w:bCs/>
          <w:sz w:val="24"/>
        </w:rPr>
        <w:t xml:space="preserve"> </w:t>
      </w:r>
      <w:r w:rsidRPr="00B10069">
        <w:rPr>
          <w:bCs/>
          <w:sz w:val="24"/>
        </w:rPr>
        <w:t>on October 6, 2017</w:t>
      </w:r>
      <w:r>
        <w:rPr>
          <w:bCs/>
          <w:sz w:val="24"/>
        </w:rPr>
        <w:t>.</w:t>
      </w:r>
    </w:p>
    <w:p w14:paraId="4A7F66DB" w14:textId="77777777" w:rsidR="000A4237" w:rsidRPr="000A4237" w:rsidRDefault="000A4237" w:rsidP="000A4237">
      <w:pPr>
        <w:spacing w:after="0"/>
        <w:rPr>
          <w:sz w:val="24"/>
        </w:rPr>
      </w:pPr>
    </w:p>
    <w:p w14:paraId="18E031F3" w14:textId="3D5BEAE8" w:rsidR="00796265" w:rsidRPr="000A4237" w:rsidRDefault="00796265" w:rsidP="00796265">
      <w:pPr>
        <w:spacing w:after="0"/>
        <w:rPr>
          <w:b/>
          <w:bCs/>
          <w:i/>
          <w:sz w:val="24"/>
          <w:u w:val="single"/>
        </w:rPr>
      </w:pPr>
      <w:r w:rsidRPr="000A4237">
        <w:rPr>
          <w:b/>
          <w:bCs/>
          <w:i/>
          <w:sz w:val="24"/>
        </w:rPr>
        <w:t>No applications will be accepted after the deadline.  No exceptions.</w:t>
      </w:r>
    </w:p>
    <w:p w14:paraId="2D831598" w14:textId="77777777" w:rsidR="00796265" w:rsidRPr="008B0C5E" w:rsidRDefault="00796265" w:rsidP="0038310B">
      <w:pPr>
        <w:rPr>
          <w:bCs/>
          <w:sz w:val="24"/>
        </w:rPr>
      </w:pPr>
    </w:p>
    <w:p w14:paraId="0D5BDB5C" w14:textId="534BD6CC" w:rsidR="003973EE" w:rsidRPr="008B0C5E" w:rsidRDefault="000A4237" w:rsidP="003973EE">
      <w:pPr>
        <w:rPr>
          <w:b/>
          <w:bCs/>
          <w:sz w:val="24"/>
        </w:rPr>
      </w:pPr>
      <w:r>
        <w:rPr>
          <w:b/>
          <w:bCs/>
          <w:sz w:val="24"/>
          <w:u w:val="single"/>
        </w:rPr>
        <w:t>Guidance</w:t>
      </w:r>
      <w:r w:rsidR="0052651C">
        <w:rPr>
          <w:b/>
          <w:bCs/>
          <w:sz w:val="24"/>
          <w:u w:val="single"/>
        </w:rPr>
        <w:t xml:space="preserve"> for Electronic Submission</w:t>
      </w:r>
    </w:p>
    <w:p w14:paraId="07AF73FB" w14:textId="628B1C8D" w:rsidR="000A4237" w:rsidRDefault="000A4237" w:rsidP="003973EE">
      <w:pPr>
        <w:numPr>
          <w:ilvl w:val="0"/>
          <w:numId w:val="14"/>
        </w:numPr>
        <w:rPr>
          <w:bCs/>
          <w:sz w:val="24"/>
        </w:rPr>
      </w:pPr>
      <w:r>
        <w:rPr>
          <w:bCs/>
          <w:sz w:val="24"/>
        </w:rPr>
        <w:t xml:space="preserve">Email application and all supporting documents to </w:t>
      </w:r>
      <w:hyperlink r:id="rId16" w:history="1">
        <w:r w:rsidRPr="00F33108">
          <w:rPr>
            <w:rStyle w:val="Hyperlink"/>
            <w:sz w:val="24"/>
          </w:rPr>
          <w:t>MEALMI@csra.com</w:t>
        </w:r>
      </w:hyperlink>
      <w:r>
        <w:rPr>
          <w:rStyle w:val="Hyperlink"/>
          <w:b/>
          <w:sz w:val="24"/>
        </w:rPr>
        <w:t>.</w:t>
      </w:r>
    </w:p>
    <w:p w14:paraId="188ADF9F" w14:textId="71011602" w:rsidR="003973EE" w:rsidRPr="003973EE" w:rsidRDefault="003973EE" w:rsidP="003973EE">
      <w:pPr>
        <w:numPr>
          <w:ilvl w:val="0"/>
          <w:numId w:val="14"/>
        </w:numPr>
        <w:rPr>
          <w:bCs/>
          <w:sz w:val="24"/>
        </w:rPr>
      </w:pPr>
      <w:r w:rsidRPr="003973EE">
        <w:rPr>
          <w:bCs/>
          <w:sz w:val="24"/>
        </w:rPr>
        <w:t xml:space="preserve">All files should be saved in PDF </w:t>
      </w:r>
      <w:r w:rsidR="000420F5">
        <w:rPr>
          <w:bCs/>
          <w:sz w:val="24"/>
        </w:rPr>
        <w:t>or DOCX format.</w:t>
      </w:r>
    </w:p>
    <w:p w14:paraId="22B19421" w14:textId="77777777" w:rsidR="003973EE" w:rsidRPr="003973EE" w:rsidRDefault="003973EE" w:rsidP="003973EE">
      <w:pPr>
        <w:numPr>
          <w:ilvl w:val="0"/>
          <w:numId w:val="14"/>
        </w:numPr>
        <w:rPr>
          <w:bCs/>
          <w:sz w:val="24"/>
        </w:rPr>
      </w:pPr>
      <w:r w:rsidRPr="003973EE">
        <w:rPr>
          <w:bCs/>
          <w:sz w:val="24"/>
        </w:rPr>
        <w:t>All files should be less than 10 MB in size.  Files in excess of 10 MB may not be reliably delivered.</w:t>
      </w:r>
    </w:p>
    <w:p w14:paraId="118C86C4" w14:textId="77777777" w:rsidR="003973EE" w:rsidRPr="003973EE" w:rsidRDefault="003973EE" w:rsidP="003973EE">
      <w:pPr>
        <w:numPr>
          <w:ilvl w:val="0"/>
          <w:numId w:val="14"/>
        </w:numPr>
        <w:rPr>
          <w:bCs/>
          <w:sz w:val="24"/>
        </w:rPr>
      </w:pPr>
      <w:r w:rsidRPr="003973EE">
        <w:rPr>
          <w:bCs/>
          <w:sz w:val="24"/>
        </w:rPr>
        <w:t xml:space="preserve">If you submit your application in parts, please number your email submissions (Part 1 of 3, Part 2 of 3, etc.) so that we can verify that the entire application is received.  </w:t>
      </w:r>
    </w:p>
    <w:p w14:paraId="571AB956" w14:textId="474BAB9F" w:rsidR="003973EE" w:rsidRPr="003973EE" w:rsidRDefault="003973EE" w:rsidP="003973EE">
      <w:pPr>
        <w:numPr>
          <w:ilvl w:val="0"/>
          <w:numId w:val="14"/>
        </w:numPr>
        <w:rPr>
          <w:bCs/>
          <w:sz w:val="24"/>
        </w:rPr>
      </w:pPr>
      <w:r w:rsidRPr="003973EE">
        <w:rPr>
          <w:bCs/>
          <w:sz w:val="24"/>
        </w:rPr>
        <w:t xml:space="preserve">Please be sure to include the name of the </w:t>
      </w:r>
      <w:r w:rsidR="007C7A7B">
        <w:rPr>
          <w:bCs/>
          <w:sz w:val="24"/>
        </w:rPr>
        <w:t>county</w:t>
      </w:r>
      <w:r w:rsidR="007C7A7B" w:rsidRPr="003973EE">
        <w:rPr>
          <w:bCs/>
          <w:sz w:val="24"/>
        </w:rPr>
        <w:t xml:space="preserve"> </w:t>
      </w:r>
      <w:r w:rsidRPr="003973EE">
        <w:rPr>
          <w:bCs/>
          <w:sz w:val="24"/>
        </w:rPr>
        <w:t>in the email’s subject line, followed by your organizatio</w:t>
      </w:r>
      <w:r w:rsidR="00B10069">
        <w:rPr>
          <w:bCs/>
          <w:sz w:val="24"/>
        </w:rPr>
        <w:t xml:space="preserve">n’s name (for example: “Garrett </w:t>
      </w:r>
      <w:r w:rsidRPr="003973EE">
        <w:rPr>
          <w:bCs/>
          <w:sz w:val="24"/>
        </w:rPr>
        <w:t>Bright Start Foundation”). If you are sending documents in a series of emails, number the emails at the end of ea</w:t>
      </w:r>
      <w:r w:rsidR="00B10069">
        <w:rPr>
          <w:bCs/>
          <w:sz w:val="24"/>
        </w:rPr>
        <w:t xml:space="preserve">ch subject line (i.e., “Garrett </w:t>
      </w:r>
      <w:r w:rsidRPr="003973EE">
        <w:rPr>
          <w:bCs/>
          <w:sz w:val="24"/>
        </w:rPr>
        <w:t>Bright Start Foundation 1 of 2,” etc.).</w:t>
      </w:r>
    </w:p>
    <w:p w14:paraId="3744F18F" w14:textId="748F764E" w:rsidR="003973EE" w:rsidRDefault="009C4B7A" w:rsidP="00796265">
      <w:pPr>
        <w:numPr>
          <w:ilvl w:val="0"/>
          <w:numId w:val="14"/>
        </w:numPr>
        <w:rPr>
          <w:bCs/>
          <w:sz w:val="24"/>
        </w:rPr>
      </w:pPr>
      <w:r w:rsidRPr="009C4B7A">
        <w:rPr>
          <w:bCs/>
          <w:sz w:val="24"/>
        </w:rPr>
        <w:t>Please be sure to not include any personally identifiable information (PII) of potential LMI participants in your application.</w:t>
      </w:r>
    </w:p>
    <w:p w14:paraId="6AF3C234" w14:textId="2D0B012D" w:rsidR="008B0C5E" w:rsidRPr="00105F81" w:rsidRDefault="00C82EDD" w:rsidP="0038310B">
      <w:pPr>
        <w:numPr>
          <w:ilvl w:val="0"/>
          <w:numId w:val="14"/>
        </w:numPr>
        <w:spacing w:after="0"/>
        <w:rPr>
          <w:bCs/>
          <w:sz w:val="24"/>
        </w:rPr>
      </w:pPr>
      <w:r>
        <w:rPr>
          <w:b/>
          <w:bCs/>
          <w:sz w:val="24"/>
        </w:rPr>
        <w:t>As stated above, y</w:t>
      </w:r>
      <w:r w:rsidR="008B0C5E">
        <w:rPr>
          <w:b/>
          <w:bCs/>
          <w:sz w:val="24"/>
        </w:rPr>
        <w:t>our application must be submitted by</w:t>
      </w:r>
      <w:r w:rsidR="000420F5">
        <w:rPr>
          <w:b/>
          <w:bCs/>
          <w:sz w:val="24"/>
        </w:rPr>
        <w:t xml:space="preserve"> 11:59 P.M. on Friday, October </w:t>
      </w:r>
      <w:r w:rsidR="008B0C5E">
        <w:rPr>
          <w:b/>
          <w:bCs/>
          <w:sz w:val="24"/>
        </w:rPr>
        <w:t>6, 2017.</w:t>
      </w:r>
    </w:p>
    <w:p w14:paraId="40448E49" w14:textId="77777777" w:rsidR="00796265" w:rsidRDefault="00796265" w:rsidP="0038310B">
      <w:pPr>
        <w:spacing w:after="0"/>
        <w:rPr>
          <w:bCs/>
          <w:sz w:val="24"/>
        </w:rPr>
      </w:pPr>
    </w:p>
    <w:p w14:paraId="13C44101" w14:textId="3729B776" w:rsidR="00105F81" w:rsidRDefault="00105F81" w:rsidP="0038310B">
      <w:pPr>
        <w:spacing w:after="0"/>
        <w:rPr>
          <w:bCs/>
          <w:sz w:val="24"/>
          <w:u w:val="single"/>
        </w:rPr>
      </w:pPr>
      <w:r w:rsidRPr="003973EE">
        <w:rPr>
          <w:bCs/>
          <w:sz w:val="24"/>
        </w:rPr>
        <w:t xml:space="preserve">You should receive an email from MEA’s Technical Assistance Team confirming receipt of your application. If you do not receive a confirmation email within an hour of submission, please contact </w:t>
      </w:r>
      <w:hyperlink r:id="rId17" w:tgtFrame="_blank" w:history="1">
        <w:r w:rsidRPr="003973EE">
          <w:rPr>
            <w:rStyle w:val="Hyperlink"/>
            <w:bCs/>
            <w:sz w:val="24"/>
          </w:rPr>
          <w:t>Madeline.Koewler@csra.com</w:t>
        </w:r>
      </w:hyperlink>
      <w:r w:rsidRPr="003973EE">
        <w:rPr>
          <w:bCs/>
          <w:sz w:val="24"/>
        </w:rPr>
        <w:t xml:space="preserve"> to ensure that your application was received.</w:t>
      </w:r>
      <w:r w:rsidR="00796265">
        <w:rPr>
          <w:bCs/>
          <w:sz w:val="24"/>
        </w:rPr>
        <w:t xml:space="preserve"> </w:t>
      </w:r>
    </w:p>
    <w:p w14:paraId="7D08EA3B" w14:textId="77777777" w:rsidR="00B42CFD" w:rsidRDefault="00B42CFD" w:rsidP="0038310B">
      <w:pPr>
        <w:spacing w:after="0"/>
        <w:rPr>
          <w:bCs/>
          <w:sz w:val="24"/>
          <w:u w:val="single"/>
        </w:rPr>
      </w:pPr>
    </w:p>
    <w:p w14:paraId="6AFE7DE1" w14:textId="7887AAC6" w:rsidR="008B0C5E" w:rsidRPr="0038310B" w:rsidRDefault="000A4237" w:rsidP="008B0C5E">
      <w:pPr>
        <w:rPr>
          <w:b/>
          <w:bCs/>
          <w:sz w:val="24"/>
        </w:rPr>
      </w:pPr>
      <w:r>
        <w:rPr>
          <w:b/>
          <w:bCs/>
          <w:sz w:val="24"/>
          <w:u w:val="single"/>
        </w:rPr>
        <w:t>Guidance</w:t>
      </w:r>
      <w:r w:rsidR="007C7A7B" w:rsidRPr="0038310B">
        <w:rPr>
          <w:b/>
          <w:bCs/>
          <w:sz w:val="24"/>
          <w:u w:val="single"/>
        </w:rPr>
        <w:t xml:space="preserve"> for </w:t>
      </w:r>
      <w:r w:rsidR="008B0C5E" w:rsidRPr="0038310B">
        <w:rPr>
          <w:b/>
          <w:bCs/>
          <w:sz w:val="24"/>
          <w:u w:val="single"/>
        </w:rPr>
        <w:t>Mail Submission</w:t>
      </w:r>
    </w:p>
    <w:p w14:paraId="40301B9F" w14:textId="5D6610D2" w:rsidR="008B0C5E" w:rsidRDefault="008B0C5E" w:rsidP="0038310B">
      <w:pPr>
        <w:pStyle w:val="ListParagraph"/>
        <w:numPr>
          <w:ilvl w:val="0"/>
          <w:numId w:val="29"/>
        </w:numPr>
        <w:spacing w:line="360" w:lineRule="auto"/>
        <w:rPr>
          <w:bCs/>
          <w:sz w:val="24"/>
        </w:rPr>
      </w:pPr>
      <w:r>
        <w:rPr>
          <w:bCs/>
          <w:sz w:val="24"/>
        </w:rPr>
        <w:t>All pages should be legible.</w:t>
      </w:r>
    </w:p>
    <w:p w14:paraId="10A07868" w14:textId="23DF6696" w:rsidR="008B0C5E" w:rsidRDefault="008B0C5E" w:rsidP="0038310B">
      <w:pPr>
        <w:pStyle w:val="ListParagraph"/>
        <w:numPr>
          <w:ilvl w:val="0"/>
          <w:numId w:val="29"/>
        </w:numPr>
        <w:spacing w:line="360" w:lineRule="auto"/>
        <w:rPr>
          <w:bCs/>
          <w:sz w:val="24"/>
        </w:rPr>
      </w:pPr>
      <w:r>
        <w:rPr>
          <w:bCs/>
          <w:sz w:val="24"/>
        </w:rPr>
        <w:t>All documents should be included in one envelope.</w:t>
      </w:r>
    </w:p>
    <w:p w14:paraId="7737F8DB" w14:textId="3DFD863F" w:rsidR="008B0C5E" w:rsidRDefault="009C4B7A" w:rsidP="00F70511">
      <w:pPr>
        <w:pStyle w:val="ListParagraph"/>
        <w:numPr>
          <w:ilvl w:val="0"/>
          <w:numId w:val="29"/>
        </w:numPr>
        <w:spacing w:after="0" w:line="240" w:lineRule="auto"/>
        <w:rPr>
          <w:bCs/>
          <w:sz w:val="24"/>
        </w:rPr>
      </w:pPr>
      <w:r w:rsidRPr="009C4B7A">
        <w:rPr>
          <w:bCs/>
          <w:sz w:val="24"/>
        </w:rPr>
        <w:t>Please be sure to not include any personally identifiable information (PII) of potential LMI participants in your application.</w:t>
      </w:r>
    </w:p>
    <w:p w14:paraId="31AAE66F" w14:textId="1C5ADBB0" w:rsidR="000A4237" w:rsidRPr="000A4237" w:rsidRDefault="000A4237" w:rsidP="00F70511">
      <w:pPr>
        <w:pStyle w:val="ListParagraph"/>
        <w:numPr>
          <w:ilvl w:val="0"/>
          <w:numId w:val="29"/>
        </w:numPr>
        <w:spacing w:before="120"/>
        <w:contextualSpacing w:val="0"/>
        <w:rPr>
          <w:bCs/>
          <w:sz w:val="24"/>
        </w:rPr>
      </w:pPr>
      <w:r w:rsidRPr="000A4237">
        <w:rPr>
          <w:bCs/>
          <w:sz w:val="24"/>
        </w:rPr>
        <w:t xml:space="preserve">Mail </w:t>
      </w:r>
      <w:r>
        <w:rPr>
          <w:bCs/>
          <w:sz w:val="24"/>
        </w:rPr>
        <w:t>or deliver</w:t>
      </w:r>
      <w:r w:rsidR="00C82EDD" w:rsidRPr="00F33108">
        <w:rPr>
          <w:szCs w:val="24"/>
          <w:vertAlign w:val="superscript"/>
        </w:rPr>
        <w:footnoteReference w:id="6"/>
      </w:r>
      <w:r w:rsidRPr="00F33108">
        <w:rPr>
          <w:bCs/>
          <w:sz w:val="24"/>
          <w:szCs w:val="24"/>
          <w:vertAlign w:val="superscript"/>
        </w:rPr>
        <w:t xml:space="preserve"> </w:t>
      </w:r>
      <w:r w:rsidRPr="000A4237">
        <w:rPr>
          <w:bCs/>
          <w:sz w:val="24"/>
        </w:rPr>
        <w:t xml:space="preserve">to: </w:t>
      </w:r>
    </w:p>
    <w:p w14:paraId="50A0535D" w14:textId="04570D64" w:rsidR="000A4237" w:rsidRDefault="000A4237" w:rsidP="000A4237">
      <w:pPr>
        <w:ind w:left="720"/>
        <w:rPr>
          <w:bCs/>
          <w:sz w:val="24"/>
        </w:rPr>
      </w:pPr>
      <w:r>
        <w:rPr>
          <w:bCs/>
          <w:sz w:val="24"/>
        </w:rPr>
        <w:t>Maryland Energy Administration</w:t>
      </w:r>
      <w:r>
        <w:rPr>
          <w:bCs/>
          <w:sz w:val="24"/>
        </w:rPr>
        <w:br/>
        <w:t>Attn: 2018 LMI Program – Application</w:t>
      </w:r>
      <w:r>
        <w:rPr>
          <w:bCs/>
          <w:sz w:val="24"/>
        </w:rPr>
        <w:br/>
        <w:t>1800 Washington Blvd., Suite 755</w:t>
      </w:r>
      <w:r>
        <w:rPr>
          <w:bCs/>
          <w:sz w:val="24"/>
        </w:rPr>
        <w:br/>
        <w:t>Baltimore, MD 21230</w:t>
      </w:r>
    </w:p>
    <w:p w14:paraId="3952E9E9" w14:textId="15E67882" w:rsidR="008B0C5E" w:rsidRPr="008B0C5E" w:rsidRDefault="008B0C5E" w:rsidP="00F70511">
      <w:pPr>
        <w:pStyle w:val="ListParagraph"/>
        <w:numPr>
          <w:ilvl w:val="0"/>
          <w:numId w:val="29"/>
        </w:numPr>
        <w:spacing w:after="240" w:line="360" w:lineRule="auto"/>
        <w:rPr>
          <w:bCs/>
          <w:sz w:val="24"/>
        </w:rPr>
      </w:pPr>
      <w:r>
        <w:rPr>
          <w:b/>
          <w:bCs/>
          <w:sz w:val="24"/>
        </w:rPr>
        <w:t xml:space="preserve">MEA must receive the </w:t>
      </w:r>
      <w:r w:rsidR="00C82EDD">
        <w:rPr>
          <w:b/>
          <w:bCs/>
          <w:sz w:val="24"/>
        </w:rPr>
        <w:t xml:space="preserve">paper </w:t>
      </w:r>
      <w:r>
        <w:rPr>
          <w:b/>
          <w:bCs/>
          <w:sz w:val="24"/>
        </w:rPr>
        <w:t xml:space="preserve">application by close of business (5:00 P.M.) on </w:t>
      </w:r>
      <w:r w:rsidR="000420F5">
        <w:rPr>
          <w:b/>
          <w:bCs/>
          <w:sz w:val="24"/>
        </w:rPr>
        <w:t>Friday, October 6</w:t>
      </w:r>
      <w:r>
        <w:rPr>
          <w:b/>
          <w:bCs/>
          <w:sz w:val="24"/>
        </w:rPr>
        <w:t>, 2017.</w:t>
      </w:r>
    </w:p>
    <w:tbl>
      <w:tblPr>
        <w:tblStyle w:val="TableGrid"/>
        <w:tblW w:w="0" w:type="auto"/>
        <w:tblLook w:val="04A0" w:firstRow="1" w:lastRow="0" w:firstColumn="1" w:lastColumn="0" w:noHBand="0" w:noVBand="1"/>
      </w:tblPr>
      <w:tblGrid>
        <w:gridCol w:w="10790"/>
      </w:tblGrid>
      <w:tr w:rsidR="00215BF0" w14:paraId="0A9736C7" w14:textId="77777777" w:rsidTr="0038310B">
        <w:tc>
          <w:tcPr>
            <w:tcW w:w="11016" w:type="dxa"/>
            <w:shd w:val="clear" w:color="auto" w:fill="DEEAF6" w:themeFill="accent1" w:themeFillTint="33"/>
          </w:tcPr>
          <w:p w14:paraId="434D6136" w14:textId="661D21D2" w:rsidR="00215BF0" w:rsidRPr="00802107" w:rsidRDefault="00215BF0" w:rsidP="003973EE">
            <w:pPr>
              <w:rPr>
                <w:b/>
                <w:bCs/>
                <w:sz w:val="24"/>
              </w:rPr>
            </w:pPr>
            <w:bookmarkStart w:id="6" w:name="GranteeResponsibilities"/>
            <w:r w:rsidRPr="00802107">
              <w:rPr>
                <w:b/>
                <w:bCs/>
                <w:sz w:val="24"/>
              </w:rPr>
              <w:t>GRANTEE RESPONSIBILITIES</w:t>
            </w:r>
            <w:bookmarkEnd w:id="6"/>
          </w:p>
        </w:tc>
      </w:tr>
    </w:tbl>
    <w:p w14:paraId="3B809AD7" w14:textId="77777777" w:rsidR="00105F81" w:rsidRPr="00105F81" w:rsidRDefault="00105F81" w:rsidP="00F33108">
      <w:pPr>
        <w:spacing w:before="120"/>
        <w:rPr>
          <w:b/>
          <w:bCs/>
          <w:sz w:val="24"/>
        </w:rPr>
      </w:pPr>
      <w:r>
        <w:rPr>
          <w:b/>
          <w:bCs/>
          <w:sz w:val="24"/>
        </w:rPr>
        <w:t>If you are selected for a Grant Award, you will be responsible for completing the following tasks/adhering to the following requirements:</w:t>
      </w:r>
    </w:p>
    <w:p w14:paraId="4FC0EFB7" w14:textId="77777777" w:rsidR="003973EE" w:rsidRPr="003973EE" w:rsidRDefault="003973EE" w:rsidP="003973EE">
      <w:pPr>
        <w:rPr>
          <w:b/>
          <w:bCs/>
          <w:sz w:val="24"/>
        </w:rPr>
      </w:pPr>
      <w:r w:rsidRPr="003973EE">
        <w:rPr>
          <w:b/>
          <w:bCs/>
          <w:sz w:val="24"/>
        </w:rPr>
        <w:t>Grant Agreement</w:t>
      </w:r>
    </w:p>
    <w:p w14:paraId="37B91D5E" w14:textId="77777777" w:rsidR="003973EE" w:rsidRPr="003973EE" w:rsidRDefault="003973EE" w:rsidP="003973EE">
      <w:pPr>
        <w:rPr>
          <w:bCs/>
          <w:sz w:val="24"/>
        </w:rPr>
      </w:pPr>
      <w:r w:rsidRPr="003973EE">
        <w:rPr>
          <w:bCs/>
          <w:sz w:val="24"/>
        </w:rPr>
        <w:t>Before making project-related purchases or starting work, each Grantee must first have an executed grant agreement with MEA. Depending on available funding levels and the type of measures proposed, grant applications may not be funded exactly as written in the applicant’s original proposal.  MEA staff will work with the Grantee to develop a mutually agreeable scope of work that will be incorporated into the grant agreement.</w:t>
      </w:r>
    </w:p>
    <w:p w14:paraId="53A8697A" w14:textId="77777777" w:rsidR="003973EE" w:rsidRPr="003973EE" w:rsidRDefault="003973EE" w:rsidP="003973EE">
      <w:pPr>
        <w:rPr>
          <w:b/>
          <w:bCs/>
          <w:sz w:val="24"/>
        </w:rPr>
      </w:pPr>
      <w:r w:rsidRPr="003973EE">
        <w:rPr>
          <w:b/>
          <w:bCs/>
          <w:sz w:val="24"/>
        </w:rPr>
        <w:t>Grant Reporting</w:t>
      </w:r>
    </w:p>
    <w:p w14:paraId="7EE34E59" w14:textId="77777777" w:rsidR="003973EE" w:rsidRPr="003973EE" w:rsidRDefault="003973EE" w:rsidP="003973EE">
      <w:pPr>
        <w:rPr>
          <w:bCs/>
          <w:sz w:val="24"/>
        </w:rPr>
      </w:pPr>
      <w:r w:rsidRPr="003973EE">
        <w:rPr>
          <w:bCs/>
          <w:sz w:val="24"/>
        </w:rPr>
        <w:t>Grantees are responsible for submitting the following reporting documents to the Maryland Energy Administration as a condition of the grant award</w:t>
      </w:r>
      <w:r w:rsidR="00105F81">
        <w:rPr>
          <w:bCs/>
          <w:sz w:val="24"/>
        </w:rPr>
        <w:t xml:space="preserve"> (descriptions of each item are provided below the list)</w:t>
      </w:r>
      <w:r w:rsidRPr="003973EE">
        <w:rPr>
          <w:bCs/>
          <w:sz w:val="24"/>
        </w:rPr>
        <w:t>:</w:t>
      </w:r>
    </w:p>
    <w:p w14:paraId="7141B526" w14:textId="77777777" w:rsidR="003973EE" w:rsidRPr="00105F81" w:rsidRDefault="003973EE" w:rsidP="00105F81">
      <w:pPr>
        <w:pStyle w:val="ListParagraph"/>
        <w:numPr>
          <w:ilvl w:val="0"/>
          <w:numId w:val="10"/>
        </w:numPr>
        <w:rPr>
          <w:bCs/>
          <w:sz w:val="24"/>
        </w:rPr>
      </w:pPr>
      <w:r w:rsidRPr="00105F81">
        <w:rPr>
          <w:bCs/>
          <w:sz w:val="24"/>
        </w:rPr>
        <w:t xml:space="preserve">Grant </w:t>
      </w:r>
      <w:r w:rsidR="00105F81">
        <w:rPr>
          <w:bCs/>
          <w:sz w:val="24"/>
        </w:rPr>
        <w:t>Timeline</w:t>
      </w:r>
    </w:p>
    <w:p w14:paraId="00CF66B9" w14:textId="77777777" w:rsidR="003973EE" w:rsidRPr="003973EE" w:rsidRDefault="003973EE" w:rsidP="003973EE">
      <w:pPr>
        <w:numPr>
          <w:ilvl w:val="0"/>
          <w:numId w:val="10"/>
        </w:numPr>
        <w:rPr>
          <w:bCs/>
          <w:sz w:val="24"/>
        </w:rPr>
      </w:pPr>
      <w:r w:rsidRPr="003973EE">
        <w:rPr>
          <w:bCs/>
          <w:sz w:val="24"/>
        </w:rPr>
        <w:t>Monthly Grant Progress Reports</w:t>
      </w:r>
    </w:p>
    <w:p w14:paraId="2FA47AAF" w14:textId="77777777" w:rsidR="003973EE" w:rsidRPr="003973EE" w:rsidRDefault="003973EE" w:rsidP="003973EE">
      <w:pPr>
        <w:numPr>
          <w:ilvl w:val="0"/>
          <w:numId w:val="10"/>
        </w:numPr>
        <w:rPr>
          <w:bCs/>
          <w:sz w:val="24"/>
        </w:rPr>
      </w:pPr>
      <w:r w:rsidRPr="003973EE">
        <w:rPr>
          <w:bCs/>
          <w:sz w:val="24"/>
        </w:rPr>
        <w:t xml:space="preserve">Monthly Energy </w:t>
      </w:r>
      <w:r w:rsidR="00105F81">
        <w:rPr>
          <w:bCs/>
          <w:sz w:val="24"/>
        </w:rPr>
        <w:t>Savings Data Worksheets</w:t>
      </w:r>
      <w:r w:rsidRPr="003973EE">
        <w:rPr>
          <w:bCs/>
          <w:sz w:val="24"/>
        </w:rPr>
        <w:t xml:space="preserve"> (when applicable)</w:t>
      </w:r>
    </w:p>
    <w:p w14:paraId="54035D3F" w14:textId="77777777" w:rsidR="003973EE" w:rsidRPr="003973EE" w:rsidRDefault="003973EE" w:rsidP="003973EE">
      <w:pPr>
        <w:numPr>
          <w:ilvl w:val="0"/>
          <w:numId w:val="10"/>
        </w:numPr>
        <w:rPr>
          <w:bCs/>
          <w:sz w:val="24"/>
        </w:rPr>
      </w:pPr>
      <w:r w:rsidRPr="003973EE">
        <w:rPr>
          <w:bCs/>
          <w:sz w:val="24"/>
        </w:rPr>
        <w:t>Monthly Grant Expenditure Summary Report (when applicable)</w:t>
      </w:r>
    </w:p>
    <w:p w14:paraId="201D1EC8" w14:textId="77777777" w:rsidR="00105F81" w:rsidRDefault="00105F81" w:rsidP="003973EE">
      <w:pPr>
        <w:rPr>
          <w:bCs/>
          <w:sz w:val="24"/>
          <w:u w:val="single"/>
        </w:rPr>
      </w:pPr>
      <w:r>
        <w:rPr>
          <w:bCs/>
          <w:i/>
          <w:sz w:val="24"/>
          <w:u w:val="single"/>
        </w:rPr>
        <w:t>Grant Timeline</w:t>
      </w:r>
    </w:p>
    <w:p w14:paraId="18329535" w14:textId="77777777" w:rsidR="00105F81" w:rsidRDefault="00105F81" w:rsidP="003973EE">
      <w:pPr>
        <w:rPr>
          <w:bCs/>
          <w:i/>
          <w:sz w:val="24"/>
          <w:u w:val="single"/>
        </w:rPr>
      </w:pPr>
      <w:r>
        <w:rPr>
          <w:bCs/>
          <w:sz w:val="24"/>
        </w:rPr>
        <w:t>Once the Grant Agreement has been executed, the Grantee is required to provide an estimated timeline of the completion of project milestones, such as expected contractor/materials procurement, start of work, 50% project completion, and project completion. The timeline can be in any format of the Grantee’s choosing, but it must be concise and easy to follow.</w:t>
      </w:r>
    </w:p>
    <w:p w14:paraId="6792CEB8" w14:textId="77777777" w:rsidR="003973EE" w:rsidRPr="003973EE" w:rsidRDefault="003973EE" w:rsidP="003973EE">
      <w:pPr>
        <w:rPr>
          <w:bCs/>
          <w:i/>
          <w:sz w:val="24"/>
          <w:u w:val="single"/>
        </w:rPr>
      </w:pPr>
      <w:r w:rsidRPr="003973EE">
        <w:rPr>
          <w:bCs/>
          <w:i/>
          <w:sz w:val="24"/>
          <w:u w:val="single"/>
        </w:rPr>
        <w:t>Monthly Grant Progress Report</w:t>
      </w:r>
    </w:p>
    <w:p w14:paraId="06115917" w14:textId="77777777" w:rsidR="003973EE" w:rsidRPr="003973EE" w:rsidRDefault="003973EE" w:rsidP="003973EE">
      <w:pPr>
        <w:rPr>
          <w:bCs/>
          <w:sz w:val="24"/>
        </w:rPr>
      </w:pPr>
      <w:r w:rsidRPr="003973EE">
        <w:rPr>
          <w:bCs/>
          <w:sz w:val="24"/>
        </w:rPr>
        <w:t>Once the grant agreement has been executed, a Grantee is required to submit a grant progress report each month until all Funds have been expended. Grant progress reports are due to MEA by the 10th of the month following the month covered (for example,</w:t>
      </w:r>
      <w:r w:rsidR="00105F81">
        <w:rPr>
          <w:bCs/>
          <w:sz w:val="24"/>
        </w:rPr>
        <w:t xml:space="preserve"> the grant report for April 2018</w:t>
      </w:r>
      <w:r w:rsidRPr="003973EE">
        <w:rPr>
          <w:bCs/>
          <w:sz w:val="24"/>
        </w:rPr>
        <w:t xml:space="preserve"> should be </w:t>
      </w:r>
      <w:r w:rsidR="00105F81">
        <w:rPr>
          <w:bCs/>
          <w:sz w:val="24"/>
        </w:rPr>
        <w:t>submitted to MEA by May 10, 2018</w:t>
      </w:r>
      <w:r w:rsidRPr="003973EE">
        <w:rPr>
          <w:bCs/>
          <w:sz w:val="24"/>
        </w:rPr>
        <w:t xml:space="preserve">). </w:t>
      </w:r>
    </w:p>
    <w:p w14:paraId="62937E93" w14:textId="77777777" w:rsidR="003973EE" w:rsidRPr="003973EE" w:rsidRDefault="003973EE" w:rsidP="003973EE">
      <w:pPr>
        <w:rPr>
          <w:bCs/>
          <w:i/>
          <w:sz w:val="24"/>
          <w:u w:val="single"/>
        </w:rPr>
      </w:pPr>
      <w:r w:rsidRPr="003973EE">
        <w:rPr>
          <w:bCs/>
          <w:i/>
          <w:sz w:val="24"/>
          <w:u w:val="single"/>
        </w:rPr>
        <w:t xml:space="preserve">Monthly Energy </w:t>
      </w:r>
      <w:r w:rsidR="00105F81">
        <w:rPr>
          <w:bCs/>
          <w:i/>
          <w:sz w:val="24"/>
          <w:u w:val="single"/>
        </w:rPr>
        <w:t>Savings Data Worksheet</w:t>
      </w:r>
    </w:p>
    <w:p w14:paraId="4F6BC895" w14:textId="5BF9AFD4" w:rsidR="003973EE" w:rsidRPr="003973EE" w:rsidRDefault="003973EE" w:rsidP="003973EE">
      <w:pPr>
        <w:rPr>
          <w:bCs/>
          <w:sz w:val="24"/>
        </w:rPr>
      </w:pPr>
      <w:r w:rsidRPr="003973EE">
        <w:rPr>
          <w:bCs/>
          <w:sz w:val="24"/>
        </w:rPr>
        <w:t xml:space="preserve">For any month that a Grantee completes the installation of energy measures, the Grantee is required to complete the </w:t>
      </w:r>
      <w:hyperlink r:id="rId18" w:history="1">
        <w:r w:rsidRPr="008D3026">
          <w:rPr>
            <w:rStyle w:val="Hyperlink"/>
            <w:bCs/>
            <w:sz w:val="24"/>
          </w:rPr>
          <w:t xml:space="preserve">monthly energy </w:t>
        </w:r>
        <w:r w:rsidR="00105F81" w:rsidRPr="008D3026">
          <w:rPr>
            <w:rStyle w:val="Hyperlink"/>
            <w:bCs/>
            <w:sz w:val="24"/>
          </w:rPr>
          <w:t>savings data worksheet</w:t>
        </w:r>
      </w:hyperlink>
      <w:r w:rsidRPr="003973EE">
        <w:rPr>
          <w:bCs/>
          <w:sz w:val="24"/>
        </w:rPr>
        <w:t xml:space="preserve">. The information submitted on this worksheet will enable MEA to estimate the energy savings associated with each project. MEA recommends that each potential Grantee review the attached </w:t>
      </w:r>
      <w:r w:rsidR="00105F81">
        <w:rPr>
          <w:bCs/>
          <w:sz w:val="24"/>
        </w:rPr>
        <w:t xml:space="preserve">Monthly Energy Savings Data Worksheet </w:t>
      </w:r>
      <w:r w:rsidRPr="003973EE">
        <w:rPr>
          <w:bCs/>
          <w:sz w:val="24"/>
        </w:rPr>
        <w:t>to fully understand the energy reporting requirements of this grant program.</w:t>
      </w:r>
    </w:p>
    <w:p w14:paraId="74FAEDA4" w14:textId="77777777" w:rsidR="003973EE" w:rsidRPr="003973EE" w:rsidRDefault="003973EE" w:rsidP="003973EE">
      <w:pPr>
        <w:rPr>
          <w:bCs/>
          <w:i/>
          <w:sz w:val="24"/>
          <w:u w:val="single"/>
        </w:rPr>
      </w:pPr>
      <w:r w:rsidRPr="003973EE">
        <w:rPr>
          <w:bCs/>
          <w:i/>
          <w:sz w:val="24"/>
          <w:u w:val="single"/>
        </w:rPr>
        <w:t>Monthly Grant Expenditure Summary Report</w:t>
      </w:r>
    </w:p>
    <w:p w14:paraId="597BB3E6" w14:textId="77777777" w:rsidR="003973EE" w:rsidRPr="003973EE" w:rsidRDefault="003973EE" w:rsidP="003973EE">
      <w:pPr>
        <w:rPr>
          <w:bCs/>
          <w:sz w:val="24"/>
        </w:rPr>
      </w:pPr>
      <w:r w:rsidRPr="003973EE">
        <w:rPr>
          <w:bCs/>
          <w:sz w:val="24"/>
        </w:rPr>
        <w:t xml:space="preserve">For any month in which a Grantee submits a reimbursement request to MEA, the invoice should be accompanied by the Monthly Grant Expenditure Summary Report. This report will detail how the Grantee calculated the reimbursement request.  </w:t>
      </w:r>
    </w:p>
    <w:p w14:paraId="2A1F222F" w14:textId="77777777" w:rsidR="003973EE" w:rsidRPr="003973EE" w:rsidRDefault="003973EE" w:rsidP="003973EE">
      <w:pPr>
        <w:rPr>
          <w:b/>
          <w:bCs/>
          <w:sz w:val="24"/>
        </w:rPr>
      </w:pPr>
      <w:r w:rsidRPr="003973EE">
        <w:rPr>
          <w:b/>
          <w:bCs/>
          <w:sz w:val="24"/>
        </w:rPr>
        <w:t>Grant Invoicing</w:t>
      </w:r>
    </w:p>
    <w:p w14:paraId="076F20CC" w14:textId="11044470" w:rsidR="003973EE" w:rsidRPr="003973EE" w:rsidRDefault="003973EE" w:rsidP="003973EE">
      <w:pPr>
        <w:rPr>
          <w:bCs/>
          <w:sz w:val="24"/>
        </w:rPr>
      </w:pPr>
      <w:r w:rsidRPr="003973EE">
        <w:rPr>
          <w:bCs/>
          <w:sz w:val="24"/>
        </w:rPr>
        <w:t xml:space="preserve">All Program grants will be distributed through a reimbursement process. The Grantee must provide an </w:t>
      </w:r>
      <w:r w:rsidR="00637232" w:rsidRPr="003973EE">
        <w:rPr>
          <w:bCs/>
          <w:sz w:val="24"/>
        </w:rPr>
        <w:t xml:space="preserve">invoice </w:t>
      </w:r>
      <w:r w:rsidR="00637232">
        <w:rPr>
          <w:bCs/>
          <w:sz w:val="24"/>
        </w:rPr>
        <w:t>with</w:t>
      </w:r>
      <w:r w:rsidR="006F1713">
        <w:rPr>
          <w:bCs/>
          <w:sz w:val="24"/>
        </w:rPr>
        <w:t xml:space="preserve"> supporting </w:t>
      </w:r>
      <w:r w:rsidRPr="003973EE">
        <w:rPr>
          <w:bCs/>
          <w:sz w:val="24"/>
        </w:rPr>
        <w:t xml:space="preserve">documentation (e.g., copies of </w:t>
      </w:r>
      <w:r w:rsidR="00105F81">
        <w:rPr>
          <w:bCs/>
          <w:sz w:val="24"/>
        </w:rPr>
        <w:t xml:space="preserve">contractor/vendor </w:t>
      </w:r>
      <w:r w:rsidRPr="003973EE">
        <w:rPr>
          <w:bCs/>
          <w:sz w:val="24"/>
        </w:rPr>
        <w:t xml:space="preserve">receipts and invoices) to MEA in order to receive Funds. </w:t>
      </w:r>
      <w:r w:rsidR="00105F81">
        <w:rPr>
          <w:bCs/>
          <w:sz w:val="24"/>
        </w:rPr>
        <w:t>Grantee i</w:t>
      </w:r>
      <w:r w:rsidRPr="003973EE">
        <w:rPr>
          <w:bCs/>
          <w:sz w:val="24"/>
        </w:rPr>
        <w:t>nvoices must be submitted to MEA on Grantee letterhead or using the MEA-generated Grantee Invoice Template. The invoice should also list the Grantee’s federal tax identification number and MEA grant number. Invoices should accompany the monthly progress report and be submitted by the 10</w:t>
      </w:r>
      <w:r w:rsidRPr="003973EE">
        <w:rPr>
          <w:bCs/>
          <w:sz w:val="24"/>
          <w:vertAlign w:val="superscript"/>
        </w:rPr>
        <w:t>th</w:t>
      </w:r>
      <w:r w:rsidRPr="003973EE">
        <w:rPr>
          <w:bCs/>
          <w:sz w:val="24"/>
        </w:rPr>
        <w:t xml:space="preserve"> of the month, with all final invoices sub</w:t>
      </w:r>
      <w:r w:rsidR="00105F81">
        <w:rPr>
          <w:bCs/>
          <w:sz w:val="24"/>
        </w:rPr>
        <w:t>mitted no later than May 1, 2019</w:t>
      </w:r>
      <w:r w:rsidRPr="003973EE">
        <w:rPr>
          <w:bCs/>
          <w:sz w:val="24"/>
        </w:rPr>
        <w:t xml:space="preserve">. Once all required invoice and reporting documentation has been received </w:t>
      </w:r>
      <w:r w:rsidRPr="009C4B7A">
        <w:rPr>
          <w:b/>
          <w:bCs/>
          <w:sz w:val="24"/>
          <w:u w:val="single"/>
        </w:rPr>
        <w:t>and approved</w:t>
      </w:r>
      <w:r w:rsidRPr="003973EE">
        <w:rPr>
          <w:bCs/>
          <w:sz w:val="24"/>
        </w:rPr>
        <w:t xml:space="preserve"> by MEA, Grantees can expect to receive reimbursement in approximate</w:t>
      </w:r>
      <w:r w:rsidR="000420F5">
        <w:rPr>
          <w:bCs/>
          <w:sz w:val="24"/>
        </w:rPr>
        <w:t>ly 45</w:t>
      </w:r>
      <w:r w:rsidRPr="003973EE">
        <w:rPr>
          <w:bCs/>
          <w:sz w:val="24"/>
        </w:rPr>
        <w:t xml:space="preserve"> days. </w:t>
      </w:r>
    </w:p>
    <w:p w14:paraId="4D49DCAB" w14:textId="77777777" w:rsidR="003973EE" w:rsidRPr="003973EE" w:rsidRDefault="003973EE" w:rsidP="003973EE">
      <w:pPr>
        <w:rPr>
          <w:b/>
          <w:bCs/>
          <w:sz w:val="24"/>
        </w:rPr>
      </w:pPr>
      <w:r w:rsidRPr="003973EE">
        <w:rPr>
          <w:b/>
          <w:bCs/>
          <w:sz w:val="24"/>
        </w:rPr>
        <w:t>Historic Preservation</w:t>
      </w:r>
    </w:p>
    <w:p w14:paraId="25A36C8E" w14:textId="77777777" w:rsidR="003973EE" w:rsidRPr="003973EE" w:rsidRDefault="003973EE" w:rsidP="003973EE">
      <w:pPr>
        <w:rPr>
          <w:bCs/>
          <w:sz w:val="24"/>
        </w:rPr>
      </w:pPr>
      <w:r w:rsidRPr="003973EE">
        <w:rPr>
          <w:bCs/>
          <w:sz w:val="24"/>
        </w:rPr>
        <w:t>In order to comply with the State historic preservation requirements, all buildings (including individual homes) to be updated with a Program grant must first be reviewed to ensure that the proposed g</w:t>
      </w:r>
      <w:r w:rsidR="00DF08C9">
        <w:rPr>
          <w:bCs/>
          <w:sz w:val="24"/>
        </w:rPr>
        <w:t xml:space="preserve">rant project will not have any </w:t>
      </w:r>
      <w:r w:rsidRPr="003973EE">
        <w:rPr>
          <w:bCs/>
          <w:sz w:val="24"/>
        </w:rPr>
        <w:t>adverse</w:t>
      </w:r>
      <w:r w:rsidR="00DF08C9">
        <w:rPr>
          <w:bCs/>
          <w:sz w:val="24"/>
        </w:rPr>
        <w:t xml:space="preserve"> effects</w:t>
      </w:r>
      <w:r w:rsidRPr="003973EE">
        <w:rPr>
          <w:bCs/>
          <w:sz w:val="24"/>
        </w:rPr>
        <w:t xml:space="preserve"> on </w:t>
      </w:r>
      <w:r w:rsidR="00DF08C9">
        <w:rPr>
          <w:bCs/>
          <w:sz w:val="24"/>
        </w:rPr>
        <w:t xml:space="preserve">the historical significance of </w:t>
      </w:r>
      <w:r w:rsidRPr="003973EE">
        <w:rPr>
          <w:bCs/>
          <w:sz w:val="24"/>
        </w:rPr>
        <w:t xml:space="preserve">a historic property. MEA must have documentation from the Maryland Historical Trust, or other qualified historian or historic organization, showing that the proposed project will not adversely affect historic properties in order to fund a project.  </w:t>
      </w:r>
    </w:p>
    <w:p w14:paraId="4E249F66" w14:textId="3F3E4DB9" w:rsidR="003973EE" w:rsidRPr="003973EE" w:rsidRDefault="003973EE" w:rsidP="003973EE">
      <w:pPr>
        <w:rPr>
          <w:bCs/>
          <w:sz w:val="24"/>
        </w:rPr>
      </w:pPr>
      <w:r w:rsidRPr="003973EE">
        <w:rPr>
          <w:bCs/>
          <w:sz w:val="24"/>
        </w:rPr>
        <w:t xml:space="preserve">Additional information on the historic preservation review process can be found on the </w:t>
      </w:r>
      <w:hyperlink r:id="rId19" w:history="1">
        <w:r w:rsidRPr="003973EE">
          <w:rPr>
            <w:rStyle w:val="Hyperlink"/>
            <w:bCs/>
            <w:sz w:val="24"/>
          </w:rPr>
          <w:t>Maryland Historical Trust website</w:t>
        </w:r>
      </w:hyperlink>
      <w:r w:rsidRPr="003973EE">
        <w:rPr>
          <w:bCs/>
          <w:sz w:val="24"/>
        </w:rPr>
        <w:t>.</w:t>
      </w:r>
    </w:p>
    <w:p w14:paraId="6E03FB3F" w14:textId="77777777" w:rsidR="003973EE" w:rsidRPr="003973EE" w:rsidRDefault="003973EE" w:rsidP="003973EE">
      <w:pPr>
        <w:rPr>
          <w:b/>
          <w:bCs/>
          <w:sz w:val="24"/>
        </w:rPr>
      </w:pPr>
      <w:r w:rsidRPr="003973EE">
        <w:rPr>
          <w:b/>
          <w:bCs/>
          <w:sz w:val="24"/>
        </w:rPr>
        <w:t>Liability Insurance</w:t>
      </w:r>
    </w:p>
    <w:p w14:paraId="29CA8F02" w14:textId="77777777" w:rsidR="003973EE" w:rsidRPr="003973EE" w:rsidRDefault="003973EE" w:rsidP="003973EE">
      <w:pPr>
        <w:rPr>
          <w:sz w:val="24"/>
        </w:rPr>
      </w:pPr>
      <w:r w:rsidRPr="003973EE">
        <w:rPr>
          <w:bCs/>
          <w:sz w:val="24"/>
        </w:rPr>
        <w:t>Comprehensive third-party liability insurance, or its equivalent, will be required to be maintained for all work funded by Program Funds. MEA must be named as an additional insured</w:t>
      </w:r>
      <w:r w:rsidR="00DF08C9">
        <w:rPr>
          <w:bCs/>
          <w:sz w:val="24"/>
        </w:rPr>
        <w:t xml:space="preserve"> on the third-party liability insurance policy for the Grantee organization and on the third-party liability insurance policies of all contractors it utilizes</w:t>
      </w:r>
      <w:r w:rsidRPr="003973EE">
        <w:rPr>
          <w:bCs/>
          <w:sz w:val="24"/>
        </w:rPr>
        <w:t xml:space="preserve">. </w:t>
      </w:r>
      <w:r w:rsidRPr="003973EE">
        <w:rPr>
          <w:sz w:val="24"/>
        </w:rPr>
        <w:t>The insurance provided should protect MEA from bodily injury and property damage, including, but not limited to all workers’ compensation insurance, and errors and omissions. All insurance certificates must be maintained in Grantee’s files and made available upon MEA request.</w:t>
      </w:r>
    </w:p>
    <w:p w14:paraId="5ADD0196" w14:textId="77777777" w:rsidR="003973EE" w:rsidRPr="003973EE" w:rsidRDefault="003973EE" w:rsidP="003973EE">
      <w:pPr>
        <w:rPr>
          <w:b/>
          <w:bCs/>
          <w:sz w:val="24"/>
        </w:rPr>
      </w:pPr>
      <w:r w:rsidRPr="003973EE">
        <w:rPr>
          <w:b/>
          <w:bCs/>
          <w:sz w:val="24"/>
        </w:rPr>
        <w:t>Licensing</w:t>
      </w:r>
    </w:p>
    <w:p w14:paraId="6B92CABB" w14:textId="77777777" w:rsidR="003973EE" w:rsidRPr="003973EE" w:rsidRDefault="003973EE" w:rsidP="003973EE">
      <w:pPr>
        <w:rPr>
          <w:sz w:val="24"/>
        </w:rPr>
      </w:pPr>
      <w:r w:rsidRPr="003973EE">
        <w:rPr>
          <w:bCs/>
          <w:sz w:val="24"/>
        </w:rPr>
        <w:t>Grantees must ensure that contractors working on projects funded under this program comply with all necessary state and local licensing requirements, including Maryland Home Improvement Commission (MHIC) licensing, as appropriate.</w:t>
      </w:r>
    </w:p>
    <w:p w14:paraId="79784FB5" w14:textId="77777777" w:rsidR="003973EE" w:rsidRPr="003973EE" w:rsidRDefault="003973EE" w:rsidP="003973EE">
      <w:pPr>
        <w:rPr>
          <w:b/>
          <w:bCs/>
          <w:sz w:val="24"/>
        </w:rPr>
      </w:pPr>
      <w:r w:rsidRPr="003973EE">
        <w:rPr>
          <w:b/>
          <w:bCs/>
          <w:sz w:val="24"/>
        </w:rPr>
        <w:t>Procurement</w:t>
      </w:r>
    </w:p>
    <w:p w14:paraId="1796C2A0" w14:textId="7B2F0D60" w:rsidR="003973EE" w:rsidRPr="003973EE" w:rsidRDefault="003973EE" w:rsidP="003973EE">
      <w:pPr>
        <w:rPr>
          <w:bCs/>
          <w:sz w:val="24"/>
        </w:rPr>
      </w:pPr>
      <w:r w:rsidRPr="003973EE">
        <w:rPr>
          <w:bCs/>
          <w:sz w:val="24"/>
        </w:rPr>
        <w:t xml:space="preserve">To ensure that Funds are properly used, MEA requests that each potential Grantee provide a brief summary of the organization’s procurement policy and/or practices in </w:t>
      </w:r>
      <w:r w:rsidR="00DF08C9">
        <w:rPr>
          <w:bCs/>
          <w:i/>
          <w:sz w:val="24"/>
        </w:rPr>
        <w:t>Section 22</w:t>
      </w:r>
      <w:r w:rsidRPr="003973EE">
        <w:rPr>
          <w:bCs/>
          <w:sz w:val="24"/>
        </w:rPr>
        <w:t xml:space="preserve">: </w:t>
      </w:r>
      <w:r w:rsidRPr="003973EE">
        <w:rPr>
          <w:bCs/>
          <w:i/>
          <w:sz w:val="24"/>
        </w:rPr>
        <w:t>Procurement Policy and/or Practices</w:t>
      </w:r>
      <w:r w:rsidRPr="003973EE">
        <w:rPr>
          <w:bCs/>
          <w:sz w:val="24"/>
        </w:rPr>
        <w:t xml:space="preserve"> of the grant application.</w:t>
      </w:r>
    </w:p>
    <w:p w14:paraId="7AD6C3F1" w14:textId="77777777" w:rsidR="003973EE" w:rsidRPr="00A726E3" w:rsidRDefault="00DF08C9" w:rsidP="003973EE">
      <w:pPr>
        <w:rPr>
          <w:b/>
          <w:bCs/>
          <w:sz w:val="24"/>
        </w:rPr>
      </w:pPr>
      <w:r w:rsidRPr="00A726E3">
        <w:rPr>
          <w:b/>
          <w:bCs/>
          <w:sz w:val="24"/>
        </w:rPr>
        <w:t>Scalability</w:t>
      </w:r>
    </w:p>
    <w:p w14:paraId="1C27E013" w14:textId="59CE815F" w:rsidR="003973EE" w:rsidRPr="003973EE" w:rsidRDefault="003973EE" w:rsidP="003973EE">
      <w:pPr>
        <w:rPr>
          <w:sz w:val="24"/>
        </w:rPr>
      </w:pPr>
      <w:r w:rsidRPr="003973EE">
        <w:rPr>
          <w:sz w:val="24"/>
        </w:rPr>
        <w:t xml:space="preserve">If your organization has the capacity to </w:t>
      </w:r>
      <w:r w:rsidR="00DF08C9">
        <w:rPr>
          <w:sz w:val="24"/>
        </w:rPr>
        <w:t>scale your project larger or smaller based on available funds</w:t>
      </w:r>
      <w:r w:rsidRPr="003973EE">
        <w:rPr>
          <w:sz w:val="24"/>
        </w:rPr>
        <w:t xml:space="preserve">, </w:t>
      </w:r>
      <w:r w:rsidR="00DF08C9">
        <w:rPr>
          <w:sz w:val="24"/>
        </w:rPr>
        <w:t xml:space="preserve">please so indicate in Section </w:t>
      </w:r>
      <w:r w:rsidR="00790774">
        <w:rPr>
          <w:sz w:val="24"/>
        </w:rPr>
        <w:t>24</w:t>
      </w:r>
      <w:r w:rsidR="00790774" w:rsidRPr="003973EE">
        <w:rPr>
          <w:sz w:val="24"/>
        </w:rPr>
        <w:t xml:space="preserve"> </w:t>
      </w:r>
      <w:r w:rsidRPr="003973EE">
        <w:rPr>
          <w:sz w:val="24"/>
        </w:rPr>
        <w:t xml:space="preserve">of the grant application. Please note that any additional funding must be used on projects that are consistent with your original grant application.  </w:t>
      </w:r>
    </w:p>
    <w:p w14:paraId="02C2BAF3" w14:textId="77777777" w:rsidR="00C82EDD" w:rsidRPr="00C82EDD" w:rsidRDefault="00C82EDD" w:rsidP="00C82EDD">
      <w:pPr>
        <w:rPr>
          <w:b/>
          <w:sz w:val="24"/>
          <w:u w:val="single"/>
        </w:rPr>
      </w:pPr>
      <w:r w:rsidRPr="00C82EDD">
        <w:rPr>
          <w:b/>
          <w:sz w:val="24"/>
        </w:rPr>
        <w:t>Showcasing</w:t>
      </w:r>
    </w:p>
    <w:p w14:paraId="038AA50B" w14:textId="77777777" w:rsidR="00C82EDD" w:rsidRPr="00C82EDD" w:rsidRDefault="00C82EDD" w:rsidP="00C82EDD">
      <w:pPr>
        <w:rPr>
          <w:rFonts w:ascii="Calibri" w:hAnsi="Calibri"/>
          <w:sz w:val="24"/>
          <w:szCs w:val="24"/>
          <w:u w:val="single"/>
        </w:rPr>
      </w:pPr>
      <w:r w:rsidRPr="00C82EDD">
        <w:rPr>
          <w:rFonts w:ascii="Calibri" w:hAnsi="Calibri" w:cs="Arial"/>
          <w:color w:val="222222"/>
          <w:sz w:val="24"/>
          <w:szCs w:val="24"/>
          <w:shd w:val="clear" w:color="auto" w:fill="FFFFFF"/>
        </w:rPr>
        <w:t>Additionally, the Maryland Energy Administration </w:t>
      </w:r>
      <w:r w:rsidRPr="00F33108">
        <w:t>showcases</w:t>
      </w:r>
      <w:r w:rsidRPr="00C82EDD">
        <w:rPr>
          <w:rFonts w:ascii="Calibri" w:hAnsi="Calibri" w:cs="Arial"/>
          <w:color w:val="222222"/>
          <w:sz w:val="24"/>
          <w:szCs w:val="24"/>
          <w:shd w:val="clear" w:color="auto" w:fill="FFFFFF"/>
        </w:rPr>
        <w:t> selected projects to demonstrate how MEA energy programs are benefiting Maryland residents and businesses.   If selected for award, please note that the MEA grant agreement will contain participation requirements for project </w:t>
      </w:r>
      <w:r w:rsidRPr="00F33108">
        <w:t>showcasing</w:t>
      </w:r>
      <w:r w:rsidRPr="00C82EDD">
        <w:rPr>
          <w:rFonts w:ascii="Calibri" w:hAnsi="Calibri" w:cs="Arial"/>
          <w:color w:val="222222"/>
          <w:sz w:val="24"/>
          <w:szCs w:val="24"/>
          <w:shd w:val="clear" w:color="auto" w:fill="FFFFFF"/>
        </w:rPr>
        <w:t>.</w:t>
      </w:r>
    </w:p>
    <w:p w14:paraId="40CC058E" w14:textId="77777777" w:rsidR="003973EE" w:rsidRPr="00A726E3" w:rsidRDefault="003973EE" w:rsidP="003973EE">
      <w:pPr>
        <w:rPr>
          <w:b/>
          <w:bCs/>
          <w:sz w:val="24"/>
        </w:rPr>
      </w:pPr>
      <w:r w:rsidRPr="00A726E3">
        <w:rPr>
          <w:b/>
          <w:bCs/>
          <w:sz w:val="24"/>
        </w:rPr>
        <w:t>Grant Conditions</w:t>
      </w:r>
    </w:p>
    <w:p w14:paraId="6DFDEB74" w14:textId="77777777" w:rsidR="003973EE" w:rsidRPr="003973EE" w:rsidRDefault="003973EE" w:rsidP="003973EE">
      <w:pPr>
        <w:rPr>
          <w:sz w:val="24"/>
        </w:rPr>
      </w:pPr>
      <w:r w:rsidRPr="003973EE">
        <w:rPr>
          <w:sz w:val="24"/>
        </w:rPr>
        <w:t>As a condition of the grant award, all grant recipients must agree to not discriminate in any manner against an employee or grant beneficiary because of race, color, religion, creed, age, gender, sexual orientation, marital status, national origin, ancestry, or disability.</w:t>
      </w:r>
    </w:p>
    <w:p w14:paraId="413EBD4C" w14:textId="77777777" w:rsidR="003973EE" w:rsidRPr="00A726E3" w:rsidRDefault="003973EE" w:rsidP="003973EE">
      <w:pPr>
        <w:rPr>
          <w:b/>
          <w:bCs/>
          <w:sz w:val="24"/>
        </w:rPr>
      </w:pPr>
      <w:r w:rsidRPr="00A726E3">
        <w:rPr>
          <w:b/>
          <w:bCs/>
          <w:sz w:val="24"/>
        </w:rPr>
        <w:t>Questions</w:t>
      </w:r>
    </w:p>
    <w:p w14:paraId="1AA8DCBF" w14:textId="7277AAC6" w:rsidR="003973EE" w:rsidRPr="00761628" w:rsidRDefault="009C4B7A" w:rsidP="00761628">
      <w:pPr>
        <w:rPr>
          <w:sz w:val="24"/>
        </w:rPr>
      </w:pPr>
      <w:r w:rsidRPr="003973EE">
        <w:rPr>
          <w:bCs/>
          <w:sz w:val="24"/>
        </w:rPr>
        <w:t xml:space="preserve">Grant program questions should be directed to MEA Program Managers </w:t>
      </w:r>
      <w:hyperlink r:id="rId20" w:history="1">
        <w:r w:rsidRPr="003973EE">
          <w:rPr>
            <w:rStyle w:val="Hyperlink"/>
            <w:bCs/>
            <w:sz w:val="24"/>
          </w:rPr>
          <w:t>Dean Fisher</w:t>
        </w:r>
      </w:hyperlink>
      <w:r w:rsidRPr="003973EE">
        <w:rPr>
          <w:bCs/>
          <w:sz w:val="24"/>
        </w:rPr>
        <w:t xml:space="preserve"> </w:t>
      </w:r>
      <w:r>
        <w:rPr>
          <w:bCs/>
          <w:sz w:val="24"/>
        </w:rPr>
        <w:t xml:space="preserve">(Phone: 410-537-4068) </w:t>
      </w:r>
      <w:r w:rsidRPr="003973EE">
        <w:rPr>
          <w:bCs/>
          <w:sz w:val="24"/>
        </w:rPr>
        <w:t xml:space="preserve">or </w:t>
      </w:r>
      <w:hyperlink r:id="rId21" w:history="1">
        <w:r w:rsidR="00626066">
          <w:rPr>
            <w:rStyle w:val="Hyperlink"/>
            <w:bCs/>
            <w:sz w:val="24"/>
          </w:rPr>
          <w:t>David Giusti</w:t>
        </w:r>
      </w:hyperlink>
      <w:r w:rsidRPr="003973EE">
        <w:rPr>
          <w:bCs/>
          <w:sz w:val="24"/>
        </w:rPr>
        <w:t xml:space="preserve"> </w:t>
      </w:r>
      <w:r w:rsidR="00626066">
        <w:rPr>
          <w:bCs/>
          <w:sz w:val="24"/>
        </w:rPr>
        <w:t>(Phone: 410-537-4072</w:t>
      </w:r>
      <w:r>
        <w:rPr>
          <w:bCs/>
          <w:sz w:val="24"/>
        </w:rPr>
        <w:t>).</w:t>
      </w:r>
    </w:p>
    <w:p w14:paraId="5B294142" w14:textId="77777777" w:rsidR="00761628" w:rsidRPr="00CB2A0B" w:rsidRDefault="00761628" w:rsidP="00CB2A0B">
      <w:pPr>
        <w:rPr>
          <w:sz w:val="24"/>
        </w:rPr>
      </w:pPr>
    </w:p>
    <w:p w14:paraId="58B971D1" w14:textId="77777777" w:rsidR="00CB2A0B" w:rsidRPr="00CB2A0B" w:rsidRDefault="00CB2A0B" w:rsidP="00CB2A0B">
      <w:pPr>
        <w:rPr>
          <w:sz w:val="24"/>
        </w:rPr>
      </w:pPr>
    </w:p>
    <w:sectPr w:rsidR="00CB2A0B" w:rsidRPr="00CB2A0B" w:rsidSect="00836033">
      <w:headerReference w:type="default" r:id="rId22"/>
      <w:pgSz w:w="12240" w:h="15840"/>
      <w:pgMar w:top="720" w:right="720" w:bottom="63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46532" w14:textId="77777777" w:rsidR="005F4BE6" w:rsidRDefault="005F4BE6" w:rsidP="00D37E47">
      <w:pPr>
        <w:spacing w:after="0" w:line="240" w:lineRule="auto"/>
      </w:pPr>
      <w:r>
        <w:separator/>
      </w:r>
    </w:p>
  </w:endnote>
  <w:endnote w:type="continuationSeparator" w:id="0">
    <w:p w14:paraId="6812BE96" w14:textId="77777777" w:rsidR="005F4BE6" w:rsidRDefault="005F4BE6" w:rsidP="00D37E47">
      <w:pPr>
        <w:spacing w:after="0" w:line="240" w:lineRule="auto"/>
      </w:pPr>
      <w:r>
        <w:continuationSeparator/>
      </w:r>
    </w:p>
  </w:endnote>
  <w:endnote w:type="continuationNotice" w:id="1">
    <w:p w14:paraId="05FC6E31" w14:textId="77777777" w:rsidR="005F4BE6" w:rsidRDefault="005F4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3D06B" w14:textId="77777777" w:rsidR="005F4BE6" w:rsidRDefault="005F4BE6" w:rsidP="00D37E47">
      <w:pPr>
        <w:spacing w:after="0" w:line="240" w:lineRule="auto"/>
      </w:pPr>
      <w:r>
        <w:separator/>
      </w:r>
    </w:p>
  </w:footnote>
  <w:footnote w:type="continuationSeparator" w:id="0">
    <w:p w14:paraId="638EFE00" w14:textId="77777777" w:rsidR="005F4BE6" w:rsidRDefault="005F4BE6" w:rsidP="00D37E47">
      <w:pPr>
        <w:spacing w:after="0" w:line="240" w:lineRule="auto"/>
      </w:pPr>
      <w:r>
        <w:continuationSeparator/>
      </w:r>
    </w:p>
  </w:footnote>
  <w:footnote w:type="continuationNotice" w:id="1">
    <w:p w14:paraId="16E1C0E2" w14:textId="77777777" w:rsidR="005F4BE6" w:rsidRDefault="005F4BE6">
      <w:pPr>
        <w:spacing w:after="0" w:line="240" w:lineRule="auto"/>
      </w:pPr>
    </w:p>
  </w:footnote>
  <w:footnote w:id="2">
    <w:p w14:paraId="756855EA" w14:textId="77777777" w:rsidR="00406009" w:rsidRPr="00910C56" w:rsidRDefault="00406009" w:rsidP="003973EE">
      <w:pPr>
        <w:pStyle w:val="NormalWeb"/>
        <w:rPr>
          <w:rFonts w:ascii="Arial" w:hAnsi="Arial" w:cs="Arial"/>
        </w:rPr>
      </w:pPr>
      <w:r>
        <w:rPr>
          <w:rStyle w:val="FootnoteReference"/>
        </w:rPr>
        <w:footnoteRef/>
      </w:r>
      <w:r>
        <w:rPr>
          <w:rFonts w:ascii="Arial" w:hAnsi="Arial" w:cs="Arial"/>
          <w:sz w:val="20"/>
          <w:szCs w:val="20"/>
        </w:rPr>
        <w:t xml:space="preserve">  </w:t>
      </w:r>
      <w:r w:rsidRPr="00910C56">
        <w:rPr>
          <w:rFonts w:ascii="Arial" w:hAnsi="Arial" w:cs="Arial"/>
          <w:sz w:val="20"/>
          <w:szCs w:val="20"/>
        </w:rPr>
        <w:t xml:space="preserve">A map of Priority Funding Areas, including a search by address feature, can be found on the </w:t>
      </w:r>
      <w:hyperlink r:id="rId1" w:history="1">
        <w:r w:rsidRPr="006030EA">
          <w:rPr>
            <w:rStyle w:val="Hyperlink"/>
            <w:rFonts w:ascii="Arial" w:hAnsi="Arial" w:cs="Arial"/>
            <w:sz w:val="20"/>
            <w:szCs w:val="20"/>
          </w:rPr>
          <w:t>MDP website</w:t>
        </w:r>
      </w:hyperlink>
      <w:r w:rsidRPr="00910C56">
        <w:rPr>
          <w:rFonts w:ascii="Arial" w:hAnsi="Arial" w:cs="Arial"/>
          <w:sz w:val="20"/>
          <w:szCs w:val="20"/>
        </w:rPr>
        <w:t>.</w:t>
      </w:r>
    </w:p>
  </w:footnote>
  <w:footnote w:id="3">
    <w:p w14:paraId="3EB4E6F9" w14:textId="553474C1" w:rsidR="00406009" w:rsidRPr="00910C56" w:rsidRDefault="00406009" w:rsidP="003973EE">
      <w:pPr>
        <w:pStyle w:val="Default"/>
        <w:spacing w:after="120"/>
        <w:outlineLvl w:val="0"/>
        <w:rPr>
          <w:rFonts w:ascii="Arial" w:hAnsi="Arial" w:cs="Arial"/>
          <w:b/>
          <w:bCs/>
          <w:sz w:val="20"/>
          <w:szCs w:val="20"/>
          <w:u w:val="single"/>
        </w:rPr>
      </w:pPr>
      <w:r w:rsidRPr="00910C56">
        <w:rPr>
          <w:rStyle w:val="FootnoteReference"/>
          <w:rFonts w:ascii="Arial" w:hAnsi="Arial" w:cs="Arial"/>
        </w:rPr>
        <w:footnoteRef/>
      </w:r>
      <w:r w:rsidRPr="00910C56">
        <w:rPr>
          <w:rFonts w:ascii="Arial" w:hAnsi="Arial" w:cs="Arial"/>
        </w:rPr>
        <w:t xml:space="preserve"> </w:t>
      </w:r>
      <w:r w:rsidRPr="006B196E">
        <w:rPr>
          <w:rFonts w:ascii="Arial" w:hAnsi="Arial" w:cs="Arial"/>
          <w:sz w:val="20"/>
          <w:szCs w:val="20"/>
        </w:rPr>
        <w:t>MEA</w:t>
      </w:r>
      <w:r>
        <w:rPr>
          <w:rFonts w:ascii="Arial" w:hAnsi="Arial" w:cs="Arial"/>
          <w:sz w:val="20"/>
          <w:szCs w:val="20"/>
        </w:rPr>
        <w:t>’</w:t>
      </w:r>
      <w:r w:rsidRPr="006B196E">
        <w:rPr>
          <w:rFonts w:ascii="Arial" w:hAnsi="Arial" w:cs="Arial"/>
          <w:sz w:val="20"/>
          <w:szCs w:val="20"/>
        </w:rPr>
        <w:t>s approximations</w:t>
      </w:r>
      <w:r>
        <w:rPr>
          <w:rFonts w:ascii="Arial" w:hAnsi="Arial" w:cs="Arial"/>
          <w:sz w:val="20"/>
          <w:szCs w:val="20"/>
        </w:rPr>
        <w:t xml:space="preserve"> of energy savings below are based on </w:t>
      </w:r>
      <w:r w:rsidRPr="00910C56">
        <w:rPr>
          <w:rFonts w:ascii="Arial" w:hAnsi="Arial" w:cs="Arial"/>
          <w:sz w:val="20"/>
          <w:szCs w:val="20"/>
        </w:rPr>
        <w:t>the Mid-Atlantic TRM</w:t>
      </w:r>
      <w:r>
        <w:rPr>
          <w:rFonts w:ascii="Arial" w:hAnsi="Arial" w:cs="Arial"/>
          <w:sz w:val="20"/>
          <w:szCs w:val="20"/>
        </w:rPr>
        <w:t xml:space="preserve"> </w:t>
      </w:r>
      <w:hyperlink r:id="rId2" w:history="1">
        <w:r w:rsidRPr="008549EE">
          <w:rPr>
            <w:rStyle w:val="Hyperlink"/>
            <w:rFonts w:ascii="Arial" w:hAnsi="Arial" w:cs="Arial"/>
            <w:sz w:val="20"/>
            <w:szCs w:val="20"/>
          </w:rPr>
          <w:t>version 2</w:t>
        </w:r>
      </w:hyperlink>
      <w:r>
        <w:rPr>
          <w:rFonts w:ascii="Arial" w:hAnsi="Arial" w:cs="Arial"/>
          <w:sz w:val="20"/>
          <w:szCs w:val="20"/>
        </w:rPr>
        <w:t xml:space="preserve">,  </w:t>
      </w:r>
      <w:hyperlink r:id="rId3" w:history="1">
        <w:r w:rsidRPr="008549EE">
          <w:rPr>
            <w:rStyle w:val="Hyperlink"/>
            <w:rFonts w:ascii="Arial" w:hAnsi="Arial" w:cs="Arial"/>
            <w:sz w:val="20"/>
            <w:szCs w:val="20"/>
          </w:rPr>
          <w:t>version 4</w:t>
        </w:r>
      </w:hyperlink>
      <w:r>
        <w:rPr>
          <w:rStyle w:val="Hyperlink"/>
          <w:rFonts w:ascii="Arial" w:hAnsi="Arial" w:cs="Arial"/>
          <w:sz w:val="20"/>
          <w:szCs w:val="20"/>
        </w:rPr>
        <w:t>,</w:t>
      </w:r>
      <w:r w:rsidRPr="00F33108">
        <w:rPr>
          <w:rFonts w:ascii="Arial" w:hAnsi="Arial"/>
          <w:sz w:val="20"/>
        </w:rPr>
        <w:t xml:space="preserve"> </w:t>
      </w:r>
      <w:hyperlink r:id="rId4" w:history="1">
        <w:r w:rsidRPr="00FA0744">
          <w:rPr>
            <w:rStyle w:val="Hyperlink"/>
            <w:rFonts w:ascii="Arial" w:hAnsi="Arial" w:cs="Arial"/>
            <w:sz w:val="20"/>
            <w:szCs w:val="20"/>
          </w:rPr>
          <w:t>version 5</w:t>
        </w:r>
      </w:hyperlink>
      <w:r>
        <w:rPr>
          <w:rStyle w:val="Hyperlink"/>
          <w:rFonts w:ascii="Arial" w:hAnsi="Arial" w:cs="Arial"/>
          <w:sz w:val="20"/>
          <w:szCs w:val="20"/>
        </w:rPr>
        <w:t xml:space="preserve">, </w:t>
      </w:r>
      <w:hyperlink r:id="rId5" w:history="1">
        <w:r w:rsidRPr="00EB671D">
          <w:rPr>
            <w:rStyle w:val="Hyperlink"/>
            <w:rFonts w:ascii="Arial" w:hAnsi="Arial" w:cs="Arial"/>
            <w:sz w:val="20"/>
            <w:szCs w:val="20"/>
          </w:rPr>
          <w:t>version 6</w:t>
        </w:r>
      </w:hyperlink>
      <w:r w:rsidRPr="00433DFA">
        <w:rPr>
          <w:rStyle w:val="Hyperlink"/>
          <w:rFonts w:ascii="Arial" w:hAnsi="Arial" w:cs="Arial"/>
          <w:sz w:val="20"/>
          <w:szCs w:val="20"/>
          <w:u w:val="none"/>
        </w:rPr>
        <w:t xml:space="preserve"> </w:t>
      </w:r>
      <w:r w:rsidRPr="00433DFA">
        <w:rPr>
          <w:rStyle w:val="Hyperlink"/>
          <w:rFonts w:ascii="Arial" w:hAnsi="Arial" w:cs="Arial"/>
          <w:color w:val="auto"/>
          <w:sz w:val="20"/>
          <w:szCs w:val="20"/>
          <w:u w:val="none"/>
        </w:rPr>
        <w:t>and</w:t>
      </w:r>
      <w:r>
        <w:rPr>
          <w:rStyle w:val="Hyperlink"/>
          <w:rFonts w:ascii="Arial" w:hAnsi="Arial" w:cs="Arial"/>
          <w:sz w:val="20"/>
          <w:szCs w:val="20"/>
        </w:rPr>
        <w:t xml:space="preserve"> </w:t>
      </w:r>
      <w:hyperlink r:id="rId6" w:history="1">
        <w:r w:rsidRPr="005D582D">
          <w:rPr>
            <w:rStyle w:val="Hyperlink"/>
            <w:rFonts w:ascii="Arial" w:hAnsi="Arial" w:cs="Arial"/>
            <w:sz w:val="20"/>
            <w:szCs w:val="20"/>
          </w:rPr>
          <w:t>version 7</w:t>
        </w:r>
      </w:hyperlink>
      <w:r>
        <w:rPr>
          <w:rFonts w:ascii="Arial" w:hAnsi="Arial" w:cs="Arial"/>
          <w:sz w:val="20"/>
          <w:szCs w:val="20"/>
        </w:rPr>
        <w:t xml:space="preserve">, which were developed by the </w:t>
      </w:r>
      <w:hyperlink r:id="rId7" w:history="1">
        <w:r>
          <w:rPr>
            <w:rStyle w:val="Hyperlink"/>
            <w:rFonts w:ascii="Arial" w:hAnsi="Arial" w:cs="Arial"/>
            <w:sz w:val="20"/>
            <w:szCs w:val="20"/>
          </w:rPr>
          <w:t>Northeast Energy Efficiency Partnership (NEEP)</w:t>
        </w:r>
      </w:hyperlink>
      <w:r w:rsidRPr="00910C56">
        <w:rPr>
          <w:rFonts w:ascii="Arial" w:hAnsi="Arial" w:cs="Arial"/>
          <w:sz w:val="20"/>
          <w:szCs w:val="20"/>
        </w:rPr>
        <w:t xml:space="preserve"> </w:t>
      </w:r>
      <w:r w:rsidRPr="005B57D4">
        <w:rPr>
          <w:rFonts w:ascii="Arial" w:hAnsi="Arial" w:cs="Arial"/>
          <w:sz w:val="20"/>
          <w:szCs w:val="20"/>
        </w:rPr>
        <w:t>to standardize energy savings assumptions across the Mid-Atlantic region.</w:t>
      </w:r>
      <w:r>
        <w:rPr>
          <w:rFonts w:ascii="Arial" w:hAnsi="Arial" w:cs="Arial"/>
          <w:sz w:val="20"/>
          <w:szCs w:val="20"/>
        </w:rPr>
        <w:t xml:space="preserve"> </w:t>
      </w:r>
      <w:r w:rsidRPr="00910C56">
        <w:rPr>
          <w:rFonts w:ascii="Arial" w:hAnsi="Arial" w:cs="Arial"/>
          <w:sz w:val="20"/>
          <w:szCs w:val="20"/>
        </w:rPr>
        <w:t>MEA use</w:t>
      </w:r>
      <w:r>
        <w:rPr>
          <w:rFonts w:ascii="Arial" w:hAnsi="Arial" w:cs="Arial"/>
          <w:sz w:val="20"/>
          <w:szCs w:val="20"/>
        </w:rPr>
        <w:t>s</w:t>
      </w:r>
      <w:r w:rsidRPr="00910C56">
        <w:rPr>
          <w:rFonts w:ascii="Arial" w:hAnsi="Arial" w:cs="Arial"/>
          <w:sz w:val="20"/>
          <w:szCs w:val="20"/>
        </w:rPr>
        <w:t xml:space="preserve"> TRM formulas to develop a preliminary estimate of potential energy savings, </w:t>
      </w:r>
      <w:r>
        <w:rPr>
          <w:rFonts w:ascii="Arial" w:hAnsi="Arial" w:cs="Arial"/>
          <w:sz w:val="20"/>
          <w:szCs w:val="20"/>
        </w:rPr>
        <w:t>which allows</w:t>
      </w:r>
      <w:r w:rsidRPr="00910C56">
        <w:rPr>
          <w:rFonts w:ascii="Arial" w:hAnsi="Arial" w:cs="Arial"/>
          <w:sz w:val="20"/>
          <w:szCs w:val="20"/>
        </w:rPr>
        <w:t xml:space="preserve"> MEA </w:t>
      </w:r>
      <w:r w:rsidRPr="00A05B02">
        <w:rPr>
          <w:rFonts w:ascii="Arial" w:hAnsi="Arial" w:cs="Arial"/>
          <w:sz w:val="20"/>
          <w:szCs w:val="20"/>
        </w:rPr>
        <w:t>to make an “apples to apples”</w:t>
      </w:r>
      <w:r w:rsidRPr="00910C56">
        <w:rPr>
          <w:rFonts w:ascii="Arial" w:hAnsi="Arial" w:cs="Arial"/>
          <w:sz w:val="20"/>
          <w:szCs w:val="20"/>
        </w:rPr>
        <w:t xml:space="preserve"> comparison of proposed energy measures. If you have alternative energy savings calculations, please include these estimates </w:t>
      </w:r>
      <w:r w:rsidRPr="00504593">
        <w:rPr>
          <w:rFonts w:ascii="Arial" w:hAnsi="Arial" w:cs="Arial"/>
          <w:sz w:val="20"/>
          <w:szCs w:val="20"/>
        </w:rPr>
        <w:t>as well</w:t>
      </w:r>
      <w:r w:rsidRPr="00910C56">
        <w:rPr>
          <w:rFonts w:ascii="Arial" w:hAnsi="Arial" w:cs="Arial"/>
          <w:sz w:val="20"/>
          <w:szCs w:val="20"/>
        </w:rPr>
        <w:t>, clearly describing the</w:t>
      </w:r>
      <w:r>
        <w:rPr>
          <w:rFonts w:ascii="Arial" w:hAnsi="Arial" w:cs="Arial"/>
          <w:sz w:val="20"/>
          <w:szCs w:val="20"/>
        </w:rPr>
        <w:t>ir</w:t>
      </w:r>
      <w:r w:rsidRPr="00910C56">
        <w:rPr>
          <w:rFonts w:ascii="Arial" w:hAnsi="Arial" w:cs="Arial"/>
          <w:sz w:val="20"/>
          <w:szCs w:val="20"/>
        </w:rPr>
        <w:t xml:space="preserve"> source.</w:t>
      </w:r>
      <w:r>
        <w:rPr>
          <w:rFonts w:ascii="Arial" w:hAnsi="Arial" w:cs="Arial"/>
          <w:sz w:val="20"/>
          <w:szCs w:val="20"/>
        </w:rPr>
        <w:t xml:space="preserve">  </w:t>
      </w:r>
    </w:p>
    <w:p w14:paraId="3D0DA6C3" w14:textId="77777777" w:rsidR="00406009" w:rsidRPr="00910C56" w:rsidRDefault="00406009" w:rsidP="003973EE">
      <w:pPr>
        <w:pStyle w:val="FootnoteText"/>
        <w:rPr>
          <w:rFonts w:cs="Arial"/>
        </w:rPr>
      </w:pPr>
    </w:p>
  </w:footnote>
  <w:footnote w:id="4">
    <w:p w14:paraId="4FC36B8B" w14:textId="77777777" w:rsidR="00406009" w:rsidRPr="0040685C" w:rsidRDefault="00406009" w:rsidP="003973EE">
      <w:pPr>
        <w:pStyle w:val="FootnoteText"/>
        <w:rPr>
          <w:lang w:val="en-US"/>
        </w:rPr>
      </w:pPr>
      <w:r>
        <w:rPr>
          <w:rStyle w:val="FootnoteReference"/>
        </w:rPr>
        <w:footnoteRef/>
      </w:r>
      <w:r>
        <w:t xml:space="preserve"> </w:t>
      </w:r>
      <w:r>
        <w:rPr>
          <w:lang w:val="en-US"/>
        </w:rPr>
        <w:t>The TRM does not estimate energy savings associated with the use of programmable thermostats with electrical heating and/or cooling.</w:t>
      </w:r>
    </w:p>
  </w:footnote>
  <w:footnote w:id="5">
    <w:p w14:paraId="17019222" w14:textId="77777777" w:rsidR="00406009" w:rsidRPr="00512BB8" w:rsidRDefault="00406009" w:rsidP="003973EE">
      <w:pPr>
        <w:pStyle w:val="FootnoteText"/>
        <w:rPr>
          <w:lang w:val="en-US"/>
        </w:rPr>
      </w:pPr>
      <w:r>
        <w:rPr>
          <w:rStyle w:val="FootnoteReference"/>
        </w:rPr>
        <w:footnoteRef/>
      </w:r>
      <w:r>
        <w:t xml:space="preserve"> </w:t>
      </w:r>
      <w:r>
        <w:rPr>
          <w:rFonts w:cs="Arial"/>
          <w:bCs/>
          <w:lang w:val="en-US"/>
        </w:rPr>
        <w:t>In</w:t>
      </w:r>
      <w:r>
        <w:rPr>
          <w:rFonts w:cs="Arial"/>
          <w:bCs/>
        </w:rPr>
        <w:t xml:space="preserve"> a home containing an electric water heater that is not already well insulated</w:t>
      </w:r>
      <w:r>
        <w:rPr>
          <w:rFonts w:cs="Arial"/>
          <w:bCs/>
          <w:lang w:val="en-US"/>
        </w:rPr>
        <w:t>.</w:t>
      </w:r>
    </w:p>
  </w:footnote>
  <w:footnote w:id="6">
    <w:p w14:paraId="574B3B28" w14:textId="77777777" w:rsidR="00406009" w:rsidRPr="00EB671D" w:rsidRDefault="00406009" w:rsidP="00C82EDD">
      <w:pPr>
        <w:pStyle w:val="FootnoteText"/>
        <w:rPr>
          <w:lang w:val="en-US"/>
        </w:rPr>
      </w:pPr>
      <w:r>
        <w:rPr>
          <w:rStyle w:val="FootnoteReference"/>
        </w:rPr>
        <w:footnoteRef/>
      </w:r>
      <w:r>
        <w:t xml:space="preserve"> </w:t>
      </w:r>
      <w:r w:rsidRPr="00EB671D">
        <w:rPr>
          <w:bCs/>
        </w:rPr>
        <w:t>The Maryland Energy Administration is collocated with the Maryland Department of the Environment (MDE).  If hand-delivering an application, please check in at the MDE reception area on the first floor of Montgomery Park.  The MDE receptionist will contact MEA to have someone come down to accept your application.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903302"/>
      <w:docPartObj>
        <w:docPartGallery w:val="Page Numbers (Top of Page)"/>
        <w:docPartUnique/>
      </w:docPartObj>
    </w:sdtPr>
    <w:sdtEndPr/>
    <w:sdtContent>
      <w:sdt>
        <w:sdtPr>
          <w:id w:val="1339427259"/>
          <w:docPartObj>
            <w:docPartGallery w:val="Page Numbers (Top of Page)"/>
            <w:docPartUnique/>
          </w:docPartObj>
        </w:sdtPr>
        <w:sdtEndPr/>
        <w:sdtContent>
          <w:p w14:paraId="61FAEFDF" w14:textId="53376317" w:rsidR="00406009" w:rsidRDefault="00406009" w:rsidP="00D0215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4224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2240">
              <w:rPr>
                <w:b/>
                <w:bCs/>
                <w:noProof/>
              </w:rPr>
              <w:t>15</w:t>
            </w:r>
            <w:r>
              <w:rPr>
                <w:b/>
                <w:bCs/>
                <w:sz w:val="24"/>
                <w:szCs w:val="24"/>
              </w:rPr>
              <w:fldChar w:fldCharType="end"/>
            </w:r>
          </w:p>
        </w:sdtContent>
      </w:sdt>
      <w:p w14:paraId="72D138F7" w14:textId="59741A56" w:rsidR="00406009" w:rsidRDefault="00406009" w:rsidP="00D02155">
        <w:pPr>
          <w:pStyle w:val="Header"/>
          <w:jc w:val="center"/>
          <w:rPr>
            <w:sz w:val="24"/>
          </w:rPr>
        </w:pPr>
        <w:r>
          <w:rPr>
            <w:noProof/>
          </w:rPr>
          <w:drawing>
            <wp:anchor distT="0" distB="0" distL="114300" distR="114300" simplePos="0" relativeHeight="251661312" behindDoc="1" locked="0" layoutInCell="1" allowOverlap="1" wp14:anchorId="4A7D30FB" wp14:editId="3FCCD7BD">
              <wp:simplePos x="0" y="0"/>
              <wp:positionH relativeFrom="margin">
                <wp:align>left</wp:align>
              </wp:positionH>
              <wp:positionV relativeFrom="paragraph">
                <wp:posOffset>-66675</wp:posOffset>
              </wp:positionV>
              <wp:extent cx="1524000" cy="55308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Pr>
            <w:sz w:val="24"/>
          </w:rPr>
          <w:t>FY18 Clean Energy Communities LMI Application</w:t>
        </w:r>
      </w:p>
      <w:p w14:paraId="5F835EB4" w14:textId="2B5862DE" w:rsidR="00406009" w:rsidRDefault="00406009" w:rsidP="00D02155">
        <w:pPr>
          <w:pStyle w:val="Header"/>
          <w:jc w:val="center"/>
          <w:rPr>
            <w:b/>
            <w:sz w:val="32"/>
          </w:rPr>
        </w:pPr>
        <w:r>
          <w:rPr>
            <w:sz w:val="24"/>
          </w:rPr>
          <w:t>County-allocated Platform</w:t>
        </w:r>
      </w:p>
      <w:p w14:paraId="4DD50CB6" w14:textId="77777777" w:rsidR="00406009" w:rsidRDefault="00242240">
        <w:pPr>
          <w:pStyle w:val="Header"/>
          <w:jc w:val="right"/>
        </w:pPr>
      </w:p>
    </w:sdtContent>
  </w:sdt>
  <w:p w14:paraId="01557C7C" w14:textId="77777777" w:rsidR="00406009" w:rsidRPr="00CD5A95" w:rsidRDefault="00406009" w:rsidP="00D37E4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B11A2B"/>
    <w:multiLevelType w:val="hybridMultilevel"/>
    <w:tmpl w:val="DC5C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A69"/>
    <w:multiLevelType w:val="hybridMultilevel"/>
    <w:tmpl w:val="E3F247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D587A"/>
    <w:multiLevelType w:val="hybridMultilevel"/>
    <w:tmpl w:val="0C1AAC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00197"/>
    <w:multiLevelType w:val="hybridMultilevel"/>
    <w:tmpl w:val="3552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95705"/>
    <w:multiLevelType w:val="hybridMultilevel"/>
    <w:tmpl w:val="4AB0C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75204C"/>
    <w:multiLevelType w:val="hybridMultilevel"/>
    <w:tmpl w:val="5FDE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C73B5"/>
    <w:multiLevelType w:val="hybridMultilevel"/>
    <w:tmpl w:val="5EA2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46F44"/>
    <w:multiLevelType w:val="hybridMultilevel"/>
    <w:tmpl w:val="3BDA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87A3B"/>
    <w:multiLevelType w:val="hybridMultilevel"/>
    <w:tmpl w:val="116CC8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1931"/>
    <w:multiLevelType w:val="hybridMultilevel"/>
    <w:tmpl w:val="97C4CC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BC24DF"/>
    <w:multiLevelType w:val="hybridMultilevel"/>
    <w:tmpl w:val="C72C78A2"/>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73A19EA"/>
    <w:multiLevelType w:val="hybridMultilevel"/>
    <w:tmpl w:val="1C0AFDCE"/>
    <w:lvl w:ilvl="0" w:tplc="8B04B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AD31F4"/>
    <w:multiLevelType w:val="hybridMultilevel"/>
    <w:tmpl w:val="F59E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F430F"/>
    <w:multiLevelType w:val="hybridMultilevel"/>
    <w:tmpl w:val="4F865BF2"/>
    <w:lvl w:ilvl="0" w:tplc="F1B8A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D80FDD"/>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E17A34"/>
    <w:multiLevelType w:val="hybridMultilevel"/>
    <w:tmpl w:val="194CF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F2EF7"/>
    <w:multiLevelType w:val="hybridMultilevel"/>
    <w:tmpl w:val="D95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570FB0"/>
    <w:multiLevelType w:val="hybridMultilevel"/>
    <w:tmpl w:val="7556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97CFF"/>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E6755C"/>
    <w:multiLevelType w:val="hybridMultilevel"/>
    <w:tmpl w:val="BEC0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160C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214AF"/>
    <w:multiLevelType w:val="hybridMultilevel"/>
    <w:tmpl w:val="9C18F5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D2505C"/>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0E657D"/>
    <w:multiLevelType w:val="hybridMultilevel"/>
    <w:tmpl w:val="E68AE3AA"/>
    <w:lvl w:ilvl="0" w:tplc="81B8E6A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63169"/>
    <w:multiLevelType w:val="hybridMultilevel"/>
    <w:tmpl w:val="6F5C8F8A"/>
    <w:lvl w:ilvl="0" w:tplc="60AE8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4"/>
  </w:num>
  <w:num w:numId="3">
    <w:abstractNumId w:val="8"/>
  </w:num>
  <w:num w:numId="4">
    <w:abstractNumId w:val="20"/>
  </w:num>
  <w:num w:numId="5">
    <w:abstractNumId w:val="14"/>
  </w:num>
  <w:num w:numId="6">
    <w:abstractNumId w:val="13"/>
  </w:num>
  <w:num w:numId="7">
    <w:abstractNumId w:val="12"/>
  </w:num>
  <w:num w:numId="8">
    <w:abstractNumId w:val="7"/>
  </w:num>
  <w:num w:numId="9">
    <w:abstractNumId w:val="19"/>
  </w:num>
  <w:num w:numId="10">
    <w:abstractNumId w:val="16"/>
  </w:num>
  <w:num w:numId="11">
    <w:abstractNumId w:val="21"/>
  </w:num>
  <w:num w:numId="12">
    <w:abstractNumId w:val="3"/>
  </w:num>
  <w:num w:numId="13">
    <w:abstractNumId w:val="9"/>
  </w:num>
  <w:num w:numId="14">
    <w:abstractNumId w:val="6"/>
  </w:num>
  <w:num w:numId="15">
    <w:abstractNumId w:val="26"/>
  </w:num>
  <w:num w:numId="16">
    <w:abstractNumId w:val="22"/>
  </w:num>
  <w:num w:numId="17">
    <w:abstractNumId w:val="17"/>
  </w:num>
  <w:num w:numId="18">
    <w:abstractNumId w:val="28"/>
  </w:num>
  <w:num w:numId="19">
    <w:abstractNumId w:val="0"/>
  </w:num>
  <w:num w:numId="20">
    <w:abstractNumId w:val="27"/>
  </w:num>
  <w:num w:numId="21">
    <w:abstractNumId w:val="11"/>
  </w:num>
  <w:num w:numId="22">
    <w:abstractNumId w:val="18"/>
  </w:num>
  <w:num w:numId="23">
    <w:abstractNumId w:val="2"/>
  </w:num>
  <w:num w:numId="24">
    <w:abstractNumId w:val="5"/>
  </w:num>
  <w:num w:numId="25">
    <w:abstractNumId w:val="10"/>
  </w:num>
  <w:num w:numId="26">
    <w:abstractNumId w:val="25"/>
  </w:num>
  <w:num w:numId="27">
    <w:abstractNumId w:val="15"/>
  </w:num>
  <w:num w:numId="28">
    <w:abstractNumId w:val="21"/>
  </w:num>
  <w:num w:numId="29">
    <w:abstractNumId w:val="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47"/>
    <w:rsid w:val="000145BA"/>
    <w:rsid w:val="00027AA2"/>
    <w:rsid w:val="000420F5"/>
    <w:rsid w:val="00087219"/>
    <w:rsid w:val="00097148"/>
    <w:rsid w:val="000A4237"/>
    <w:rsid w:val="000B455F"/>
    <w:rsid w:val="000B63E5"/>
    <w:rsid w:val="000C5795"/>
    <w:rsid w:val="000C7DA4"/>
    <w:rsid w:val="000D3D63"/>
    <w:rsid w:val="000E2482"/>
    <w:rsid w:val="000E4E9B"/>
    <w:rsid w:val="00105F81"/>
    <w:rsid w:val="00130322"/>
    <w:rsid w:val="001766E5"/>
    <w:rsid w:val="0018361E"/>
    <w:rsid w:val="001A295A"/>
    <w:rsid w:val="001C4E5F"/>
    <w:rsid w:val="001D493F"/>
    <w:rsid w:val="001D4DC4"/>
    <w:rsid w:val="0021267B"/>
    <w:rsid w:val="002130B5"/>
    <w:rsid w:val="00215BF0"/>
    <w:rsid w:val="002175B2"/>
    <w:rsid w:val="00242240"/>
    <w:rsid w:val="002459A1"/>
    <w:rsid w:val="00254CBD"/>
    <w:rsid w:val="00281EDA"/>
    <w:rsid w:val="00294F3F"/>
    <w:rsid w:val="002C6E7B"/>
    <w:rsid w:val="003118DF"/>
    <w:rsid w:val="0032417B"/>
    <w:rsid w:val="00357C6F"/>
    <w:rsid w:val="00361181"/>
    <w:rsid w:val="00364EF6"/>
    <w:rsid w:val="0038310B"/>
    <w:rsid w:val="003973EE"/>
    <w:rsid w:val="003B0CEE"/>
    <w:rsid w:val="003B4D4D"/>
    <w:rsid w:val="003B7D48"/>
    <w:rsid w:val="003C0FC0"/>
    <w:rsid w:val="003D0DC8"/>
    <w:rsid w:val="003D54AA"/>
    <w:rsid w:val="003E611B"/>
    <w:rsid w:val="003F51EC"/>
    <w:rsid w:val="00406009"/>
    <w:rsid w:val="0040627D"/>
    <w:rsid w:val="00420294"/>
    <w:rsid w:val="00422B02"/>
    <w:rsid w:val="00424435"/>
    <w:rsid w:val="00433DFA"/>
    <w:rsid w:val="00433FFB"/>
    <w:rsid w:val="004472E8"/>
    <w:rsid w:val="00471BA9"/>
    <w:rsid w:val="004B487A"/>
    <w:rsid w:val="004C1F2A"/>
    <w:rsid w:val="004D228D"/>
    <w:rsid w:val="004D27A2"/>
    <w:rsid w:val="005014E5"/>
    <w:rsid w:val="0052651C"/>
    <w:rsid w:val="00550F13"/>
    <w:rsid w:val="00566D36"/>
    <w:rsid w:val="005858F5"/>
    <w:rsid w:val="00592623"/>
    <w:rsid w:val="005A5719"/>
    <w:rsid w:val="005C4BF4"/>
    <w:rsid w:val="005D582D"/>
    <w:rsid w:val="005F4BE6"/>
    <w:rsid w:val="006063DE"/>
    <w:rsid w:val="00626066"/>
    <w:rsid w:val="00637232"/>
    <w:rsid w:val="00666FE3"/>
    <w:rsid w:val="00691B45"/>
    <w:rsid w:val="006A43C3"/>
    <w:rsid w:val="006B0052"/>
    <w:rsid w:val="006C6B58"/>
    <w:rsid w:val="006F1713"/>
    <w:rsid w:val="00722B1A"/>
    <w:rsid w:val="00730004"/>
    <w:rsid w:val="00736B69"/>
    <w:rsid w:val="007377A3"/>
    <w:rsid w:val="00747EB0"/>
    <w:rsid w:val="00751DA2"/>
    <w:rsid w:val="00753E98"/>
    <w:rsid w:val="00754D8C"/>
    <w:rsid w:val="00761628"/>
    <w:rsid w:val="00785DA6"/>
    <w:rsid w:val="00790774"/>
    <w:rsid w:val="00796265"/>
    <w:rsid w:val="007C0665"/>
    <w:rsid w:val="007C3DF3"/>
    <w:rsid w:val="007C7A7B"/>
    <w:rsid w:val="007E37B0"/>
    <w:rsid w:val="007E425F"/>
    <w:rsid w:val="007E58B3"/>
    <w:rsid w:val="00802107"/>
    <w:rsid w:val="00812EA1"/>
    <w:rsid w:val="00836033"/>
    <w:rsid w:val="00854F03"/>
    <w:rsid w:val="00887ADA"/>
    <w:rsid w:val="008B0C5E"/>
    <w:rsid w:val="008D1384"/>
    <w:rsid w:val="008D3026"/>
    <w:rsid w:val="008D557E"/>
    <w:rsid w:val="008F4AE1"/>
    <w:rsid w:val="00902A7B"/>
    <w:rsid w:val="00962493"/>
    <w:rsid w:val="00985ECC"/>
    <w:rsid w:val="009B34D5"/>
    <w:rsid w:val="009C0CB4"/>
    <w:rsid w:val="009C4B7A"/>
    <w:rsid w:val="00A102AA"/>
    <w:rsid w:val="00A2017A"/>
    <w:rsid w:val="00A4581C"/>
    <w:rsid w:val="00A51EAC"/>
    <w:rsid w:val="00A556A4"/>
    <w:rsid w:val="00A66F0A"/>
    <w:rsid w:val="00A726E3"/>
    <w:rsid w:val="00A7765F"/>
    <w:rsid w:val="00A850F6"/>
    <w:rsid w:val="00A924F7"/>
    <w:rsid w:val="00AB0617"/>
    <w:rsid w:val="00AB6985"/>
    <w:rsid w:val="00AC7D36"/>
    <w:rsid w:val="00AD4279"/>
    <w:rsid w:val="00AF5829"/>
    <w:rsid w:val="00B10069"/>
    <w:rsid w:val="00B32DD5"/>
    <w:rsid w:val="00B42CFD"/>
    <w:rsid w:val="00B61F02"/>
    <w:rsid w:val="00B650C9"/>
    <w:rsid w:val="00B87D58"/>
    <w:rsid w:val="00B94C94"/>
    <w:rsid w:val="00BA3447"/>
    <w:rsid w:val="00BC342B"/>
    <w:rsid w:val="00BD24DD"/>
    <w:rsid w:val="00BD2CDB"/>
    <w:rsid w:val="00BE538F"/>
    <w:rsid w:val="00BF0183"/>
    <w:rsid w:val="00C135C3"/>
    <w:rsid w:val="00C161D9"/>
    <w:rsid w:val="00C258AF"/>
    <w:rsid w:val="00C33554"/>
    <w:rsid w:val="00C57652"/>
    <w:rsid w:val="00C70BA3"/>
    <w:rsid w:val="00C82EDD"/>
    <w:rsid w:val="00C905F2"/>
    <w:rsid w:val="00CB2A0B"/>
    <w:rsid w:val="00CD5A95"/>
    <w:rsid w:val="00CE2B18"/>
    <w:rsid w:val="00D02155"/>
    <w:rsid w:val="00D35048"/>
    <w:rsid w:val="00D37E47"/>
    <w:rsid w:val="00D40272"/>
    <w:rsid w:val="00D44F7F"/>
    <w:rsid w:val="00D50C4D"/>
    <w:rsid w:val="00D75425"/>
    <w:rsid w:val="00D96D28"/>
    <w:rsid w:val="00DA3134"/>
    <w:rsid w:val="00DC66B9"/>
    <w:rsid w:val="00DE3AC0"/>
    <w:rsid w:val="00DF08C9"/>
    <w:rsid w:val="00E055FC"/>
    <w:rsid w:val="00E14402"/>
    <w:rsid w:val="00E24A75"/>
    <w:rsid w:val="00E71CCC"/>
    <w:rsid w:val="00E8757D"/>
    <w:rsid w:val="00EA0CB8"/>
    <w:rsid w:val="00EB4E8B"/>
    <w:rsid w:val="00EB671D"/>
    <w:rsid w:val="00ED422D"/>
    <w:rsid w:val="00ED559A"/>
    <w:rsid w:val="00EE30DD"/>
    <w:rsid w:val="00EF5E8F"/>
    <w:rsid w:val="00F12502"/>
    <w:rsid w:val="00F23727"/>
    <w:rsid w:val="00F33108"/>
    <w:rsid w:val="00F50099"/>
    <w:rsid w:val="00F54677"/>
    <w:rsid w:val="00F55D65"/>
    <w:rsid w:val="00F70511"/>
    <w:rsid w:val="00F975B1"/>
    <w:rsid w:val="00FB14CD"/>
    <w:rsid w:val="00FB5929"/>
    <w:rsid w:val="00FC56E9"/>
    <w:rsid w:val="00FD00A5"/>
    <w:rsid w:val="00FD0A40"/>
    <w:rsid w:val="00FD4C0E"/>
    <w:rsid w:val="00FD5CB0"/>
    <w:rsid w:val="00FD6662"/>
    <w:rsid w:val="00FD70DA"/>
    <w:rsid w:val="00FE3C08"/>
    <w:rsid w:val="00FE4AF7"/>
    <w:rsid w:val="00FE7197"/>
    <w:rsid w:val="00FE7477"/>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FE68A"/>
  <w15:docId w15:val="{0EB3D8AC-B11D-424A-A221-B48414EE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73EE"/>
    <w:pPr>
      <w:keepNext/>
      <w:suppressAutoHyphens/>
      <w:autoSpaceDE w:val="0"/>
      <w:spacing w:before="240" w:after="60" w:line="240" w:lineRule="auto"/>
      <w:outlineLvl w:val="0"/>
    </w:pPr>
    <w:rPr>
      <w:rFonts w:ascii="Cambria" w:eastAsia="Times New Roman" w:hAnsi="Cambria" w:cs="Times New Roman"/>
      <w:b/>
      <w:bCs/>
      <w:kern w:val="32"/>
      <w:sz w:val="32"/>
      <w:szCs w:val="32"/>
      <w:lang w:val="x-none" w:eastAsia="ar-SA"/>
    </w:rPr>
  </w:style>
  <w:style w:type="paragraph" w:styleId="Heading5">
    <w:name w:val="heading 5"/>
    <w:basedOn w:val="Normal"/>
    <w:next w:val="Normal"/>
    <w:link w:val="Heading5Char"/>
    <w:qFormat/>
    <w:rsid w:val="003973EE"/>
    <w:pPr>
      <w:keepNext/>
      <w:numPr>
        <w:ilvl w:val="4"/>
        <w:numId w:val="19"/>
      </w:numPr>
      <w:suppressAutoHyphens/>
      <w:spacing w:after="0" w:line="240" w:lineRule="auto"/>
      <w:ind w:left="2880" w:firstLine="0"/>
      <w:outlineLvl w:val="4"/>
    </w:pPr>
    <w:rPr>
      <w:rFonts w:ascii="Arial" w:eastAsia="Times New Roman" w:hAnsi="Arial" w:cs="Times New Roman"/>
      <w:b/>
      <w:color w:val="0000FF"/>
      <w:sz w:val="24"/>
      <w:szCs w:val="20"/>
      <w:u w:val="single"/>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EE"/>
    <w:rPr>
      <w:rFonts w:ascii="Cambria" w:eastAsia="Times New Roman" w:hAnsi="Cambria" w:cs="Times New Roman"/>
      <w:b/>
      <w:bCs/>
      <w:kern w:val="32"/>
      <w:sz w:val="32"/>
      <w:szCs w:val="32"/>
      <w:lang w:val="x-none" w:eastAsia="ar-SA"/>
    </w:rPr>
  </w:style>
  <w:style w:type="character" w:customStyle="1" w:styleId="Heading5Char">
    <w:name w:val="Heading 5 Char"/>
    <w:basedOn w:val="DefaultParagraphFont"/>
    <w:link w:val="Heading5"/>
    <w:rsid w:val="003973EE"/>
    <w:rPr>
      <w:rFonts w:ascii="Arial" w:eastAsia="Times New Roman" w:hAnsi="Arial" w:cs="Times New Roman"/>
      <w:b/>
      <w:color w:val="0000FF"/>
      <w:sz w:val="24"/>
      <w:szCs w:val="20"/>
      <w:u w:val="single"/>
      <w:lang w:val="x-none" w:eastAsia="ar-SA"/>
    </w:rPr>
  </w:style>
  <w:style w:type="paragraph" w:styleId="Header">
    <w:name w:val="header"/>
    <w:basedOn w:val="Normal"/>
    <w:link w:val="HeaderChar"/>
    <w:unhideWhenUsed/>
    <w:rsid w:val="00D3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7"/>
  </w:style>
  <w:style w:type="paragraph" w:styleId="Footer">
    <w:name w:val="footer"/>
    <w:basedOn w:val="Normal"/>
    <w:link w:val="FooterChar"/>
    <w:uiPriority w:val="99"/>
    <w:unhideWhenUsed/>
    <w:rsid w:val="00D3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7"/>
  </w:style>
  <w:style w:type="paragraph" w:styleId="ListParagraph">
    <w:name w:val="List Paragraph"/>
    <w:basedOn w:val="Normal"/>
    <w:uiPriority w:val="34"/>
    <w:qFormat/>
    <w:rsid w:val="00CD5A95"/>
    <w:pPr>
      <w:ind w:left="720"/>
      <w:contextualSpacing/>
    </w:pPr>
  </w:style>
  <w:style w:type="table" w:styleId="TableGrid">
    <w:name w:val="Table Grid"/>
    <w:basedOn w:val="TableNormal"/>
    <w:uiPriority w:val="39"/>
    <w:rsid w:val="00C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A75"/>
    <w:rPr>
      <w:color w:val="808080"/>
    </w:rPr>
  </w:style>
  <w:style w:type="character" w:styleId="Hyperlink">
    <w:name w:val="Hyperlink"/>
    <w:basedOn w:val="DefaultParagraphFont"/>
    <w:uiPriority w:val="99"/>
    <w:unhideWhenUsed/>
    <w:rsid w:val="00C70BA3"/>
    <w:rPr>
      <w:color w:val="0563C1" w:themeColor="hyperlink"/>
      <w:u w:val="single"/>
    </w:rPr>
  </w:style>
  <w:style w:type="paragraph" w:styleId="BalloonText">
    <w:name w:val="Balloon Text"/>
    <w:basedOn w:val="Normal"/>
    <w:link w:val="BalloonTextChar"/>
    <w:unhideWhenUsed/>
    <w:rsid w:val="003D0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D0DC8"/>
    <w:rPr>
      <w:rFonts w:ascii="Segoe UI" w:hAnsi="Segoe UI" w:cs="Segoe UI"/>
      <w:sz w:val="18"/>
      <w:szCs w:val="18"/>
    </w:rPr>
  </w:style>
  <w:style w:type="paragraph" w:styleId="NormalWeb">
    <w:name w:val="Normal (Web)"/>
    <w:basedOn w:val="Normal"/>
    <w:uiPriority w:val="99"/>
    <w:unhideWhenUsed/>
    <w:rsid w:val="003973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973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nhideWhenUsed/>
    <w:rsid w:val="003973EE"/>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3973EE"/>
    <w:rPr>
      <w:rFonts w:ascii="Consolas" w:eastAsia="Calibri" w:hAnsi="Consolas" w:cs="Times New Roman"/>
      <w:sz w:val="21"/>
      <w:szCs w:val="21"/>
      <w:lang w:val="x-none" w:eastAsia="x-none"/>
    </w:rPr>
  </w:style>
  <w:style w:type="character" w:styleId="FootnoteReference">
    <w:name w:val="footnote reference"/>
    <w:uiPriority w:val="99"/>
    <w:semiHidden/>
    <w:unhideWhenUsed/>
    <w:rsid w:val="003973EE"/>
    <w:rPr>
      <w:vertAlign w:val="superscript"/>
    </w:rPr>
  </w:style>
  <w:style w:type="character" w:styleId="Strong">
    <w:name w:val="Strong"/>
    <w:uiPriority w:val="22"/>
    <w:qFormat/>
    <w:rsid w:val="003973EE"/>
    <w:rPr>
      <w:b/>
      <w:bCs/>
    </w:rPr>
  </w:style>
  <w:style w:type="paragraph" w:styleId="FootnoteText">
    <w:name w:val="footnote text"/>
    <w:basedOn w:val="Normal"/>
    <w:link w:val="FootnoteTextChar"/>
    <w:uiPriority w:val="99"/>
    <w:semiHidden/>
    <w:unhideWhenUsed/>
    <w:rsid w:val="003973EE"/>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uiPriority w:val="99"/>
    <w:semiHidden/>
    <w:rsid w:val="003973EE"/>
    <w:rPr>
      <w:rFonts w:ascii="Arial" w:eastAsia="Times New Roman" w:hAnsi="Arial" w:cs="Times New Roman"/>
      <w:sz w:val="20"/>
      <w:szCs w:val="20"/>
      <w:lang w:val="x-none" w:eastAsia="x-none"/>
    </w:rPr>
  </w:style>
  <w:style w:type="character" w:styleId="CommentReference">
    <w:name w:val="annotation reference"/>
    <w:uiPriority w:val="99"/>
    <w:unhideWhenUsed/>
    <w:rsid w:val="003973EE"/>
    <w:rPr>
      <w:sz w:val="16"/>
      <w:szCs w:val="16"/>
    </w:rPr>
  </w:style>
  <w:style w:type="paragraph" w:styleId="CommentText">
    <w:name w:val="annotation text"/>
    <w:basedOn w:val="Normal"/>
    <w:link w:val="CommentTextChar"/>
    <w:unhideWhenUsed/>
    <w:rsid w:val="003973EE"/>
    <w:pPr>
      <w:spacing w:after="0" w:line="240" w:lineRule="auto"/>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3973EE"/>
    <w:rPr>
      <w:rFonts w:ascii="Arial" w:eastAsia="Times New Roman" w:hAnsi="Arial" w:cs="Times New Roman"/>
      <w:sz w:val="20"/>
      <w:szCs w:val="20"/>
      <w:lang w:val="x-none" w:eastAsia="x-none"/>
    </w:rPr>
  </w:style>
  <w:style w:type="character" w:customStyle="1" w:styleId="CommentSubjectChar">
    <w:name w:val="Comment Subject Char"/>
    <w:basedOn w:val="CommentTextChar"/>
    <w:link w:val="CommentSubject"/>
    <w:rsid w:val="003973EE"/>
    <w:rPr>
      <w:rFonts w:ascii="Arial" w:eastAsia="Times New Roman" w:hAnsi="Arial" w:cs="Times New Roman"/>
      <w:b/>
      <w:bCs/>
      <w:sz w:val="20"/>
      <w:szCs w:val="20"/>
      <w:lang w:val="x-none" w:eastAsia="x-none"/>
    </w:rPr>
  </w:style>
  <w:style w:type="paragraph" w:styleId="CommentSubject">
    <w:name w:val="annotation subject"/>
    <w:basedOn w:val="CommentText"/>
    <w:next w:val="CommentText"/>
    <w:link w:val="CommentSubjectChar"/>
    <w:unhideWhenUsed/>
    <w:rsid w:val="003973EE"/>
    <w:rPr>
      <w:b/>
      <w:bCs/>
    </w:rPr>
  </w:style>
  <w:style w:type="character" w:customStyle="1" w:styleId="BodyTextChar">
    <w:name w:val="Body Text Char"/>
    <w:basedOn w:val="DefaultParagraphFont"/>
    <w:link w:val="BodyText"/>
    <w:rsid w:val="003973EE"/>
    <w:rPr>
      <w:rFonts w:ascii="Times New Roman" w:eastAsia="Times New Roman" w:hAnsi="Times New Roman" w:cs="Times New Roman"/>
      <w:sz w:val="20"/>
      <w:szCs w:val="20"/>
      <w:lang w:val="x-none" w:eastAsia="ar-SA"/>
    </w:rPr>
  </w:style>
  <w:style w:type="paragraph" w:styleId="BodyText">
    <w:name w:val="Body Text"/>
    <w:basedOn w:val="Normal"/>
    <w:link w:val="BodyTextChar"/>
    <w:rsid w:val="003973EE"/>
    <w:pPr>
      <w:suppressAutoHyphens/>
      <w:autoSpaceDE w:val="0"/>
      <w:spacing w:after="120" w:line="240" w:lineRule="auto"/>
    </w:pPr>
    <w:rPr>
      <w:rFonts w:ascii="Times New Roman" w:eastAsia="Times New Roman" w:hAnsi="Times New Roman" w:cs="Times New Roman"/>
      <w:sz w:val="20"/>
      <w:szCs w:val="20"/>
      <w:lang w:val="x-none" w:eastAsia="ar-SA"/>
    </w:rPr>
  </w:style>
  <w:style w:type="paragraph" w:styleId="Caption">
    <w:name w:val="caption"/>
    <w:basedOn w:val="Normal"/>
    <w:qFormat/>
    <w:rsid w:val="003973EE"/>
    <w:pPr>
      <w:suppressLineNumbers/>
      <w:suppressAutoHyphens/>
      <w:autoSpaceDE w:val="0"/>
      <w:spacing w:before="120" w:after="120" w:line="240" w:lineRule="auto"/>
    </w:pPr>
    <w:rPr>
      <w:rFonts w:ascii="Times New Roman" w:eastAsia="Times New Roman" w:hAnsi="Times New Roman" w:cs="Mangal"/>
      <w:i/>
      <w:iCs/>
      <w:sz w:val="24"/>
      <w:szCs w:val="24"/>
      <w:lang w:eastAsia="ar-SA"/>
    </w:rPr>
  </w:style>
  <w:style w:type="paragraph" w:styleId="NoSpacing">
    <w:name w:val="No Spacing"/>
    <w:uiPriority w:val="1"/>
    <w:qFormat/>
    <w:rsid w:val="003973EE"/>
    <w:pPr>
      <w:suppressAutoHyphens/>
      <w:spacing w:after="0" w:line="240" w:lineRule="auto"/>
    </w:pPr>
    <w:rPr>
      <w:rFonts w:ascii="Times New Roman" w:eastAsia="Calibri" w:hAnsi="Times New Roman" w:cs="Calibri"/>
      <w:sz w:val="24"/>
      <w:szCs w:val="24"/>
      <w:lang w:eastAsia="ar-SA"/>
    </w:rPr>
  </w:style>
  <w:style w:type="character" w:styleId="FollowedHyperlink">
    <w:name w:val="FollowedHyperlink"/>
    <w:basedOn w:val="DefaultParagraphFont"/>
    <w:uiPriority w:val="99"/>
    <w:semiHidden/>
    <w:unhideWhenUsed/>
    <w:rsid w:val="00433FFB"/>
    <w:rPr>
      <w:color w:val="954F72" w:themeColor="followedHyperlink"/>
      <w:u w:val="single"/>
    </w:rPr>
  </w:style>
  <w:style w:type="table" w:customStyle="1" w:styleId="GridTable4-Accent51">
    <w:name w:val="Grid Table 4 - Accent 51"/>
    <w:basedOn w:val="TableNormal"/>
    <w:uiPriority w:val="49"/>
    <w:rsid w:val="005858F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5014E5"/>
    <w:pPr>
      <w:spacing w:after="0" w:line="240" w:lineRule="auto"/>
    </w:pPr>
  </w:style>
  <w:style w:type="character" w:customStyle="1" w:styleId="il">
    <w:name w:val="il"/>
    <w:basedOn w:val="DefaultParagraphFont"/>
    <w:rsid w:val="0050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dp.state.md.us/OurProducts/pfamap.shtml" TargetMode="External"/><Relationship Id="rId18" Type="http://schemas.openxmlformats.org/officeDocument/2006/relationships/hyperlink" Target="file:///S:/Shared%20Files/Program%20Team%20Folder/Energy%20Efficiency/LMI/2018%20CEC%20LMI%20Program/Reporting%20Attachments/Attachment%20F%20(Word)%202018.docx"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mailto:david.giusti1@maryland.gov" TargetMode="External"/><Relationship Id="rId7" Type="http://schemas.openxmlformats.org/officeDocument/2006/relationships/endnotes" Target="endnotes.xml"/><Relationship Id="rId12" Type="http://schemas.openxmlformats.org/officeDocument/2006/relationships/hyperlink" Target="http://energy.maryland.gov/residential/Pages/incentives/default.aspx" TargetMode="External"/><Relationship Id="rId17" Type="http://schemas.openxmlformats.org/officeDocument/2006/relationships/hyperlink" Target="mailto:Cortney_Krauss@sra.com"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MEALMI@csra.com" TargetMode="External"/><Relationship Id="rId20" Type="http://schemas.openxmlformats.org/officeDocument/2006/relationships/hyperlink" Target="mailto:dean.fisher@marylan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rgy.maryland.gov/business/Pages/incentives.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ergy.maryland.gov/Govt/LMI2015.html" TargetMode="External"/><Relationship Id="rId23" Type="http://schemas.openxmlformats.org/officeDocument/2006/relationships/fontTable" Target="fontTable.xml"/><Relationship Id="rId10" Type="http://schemas.openxmlformats.org/officeDocument/2006/relationships/hyperlink" Target="https://www.energycodes.gov/status-state-energy-code-adoption" TargetMode="External"/><Relationship Id="rId19" Type="http://schemas.openxmlformats.org/officeDocument/2006/relationships/hyperlink" Target="http://mht.maryland.gov/" TargetMode="External"/><Relationship Id="rId4" Type="http://schemas.openxmlformats.org/officeDocument/2006/relationships/settings" Target="settings.xml"/><Relationship Id="rId9" Type="http://schemas.openxmlformats.org/officeDocument/2006/relationships/hyperlink" Target="http://dhcd.maryland.gov/HousingDevelopment/Documents/prhp/2017_MD_Income_Limits.pdf" TargetMode="External"/><Relationship Id="rId14" Type="http://schemas.openxmlformats.org/officeDocument/2006/relationships/hyperlink" Target="http://neep.org/mid-atlantic-technical-reference-manual-v7" TargetMode="External"/><Relationship Id="rId22" Type="http://schemas.openxmlformats.org/officeDocument/2006/relationships/header" Target="header1.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www.neep.org/technical-reference-manual-v-4" TargetMode="External"/><Relationship Id="rId7" Type="http://schemas.openxmlformats.org/officeDocument/2006/relationships/hyperlink" Target="http://www.neep.org/" TargetMode="External"/><Relationship Id="rId2" Type="http://schemas.openxmlformats.org/officeDocument/2006/relationships/hyperlink" Target="http://www.neep.org/technical-reference-manual-v-2" TargetMode="External"/><Relationship Id="rId1" Type="http://schemas.openxmlformats.org/officeDocument/2006/relationships/hyperlink" Target="http://www.mdp.state.md.us/OurProducts/iMaps.shtml" TargetMode="External"/><Relationship Id="rId6" Type="http://schemas.openxmlformats.org/officeDocument/2006/relationships/hyperlink" Target="http://neep.org/mid-atlantic-technical-reference-manual-v7" TargetMode="External"/><Relationship Id="rId5" Type="http://schemas.openxmlformats.org/officeDocument/2006/relationships/hyperlink" Target="http://www.neep.org/mid-atlantic-technical-reference-manual-v6" TargetMode="External"/><Relationship Id="rId4" Type="http://schemas.openxmlformats.org/officeDocument/2006/relationships/hyperlink" Target="http://www.neep.org/mid-atlantic-technical-reference-manual-v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7E6A0-DB81-4934-AE56-54A888BDA058}"/>
</file>

<file path=customXml/itemProps2.xml><?xml version="1.0" encoding="utf-8"?>
<ds:datastoreItem xmlns:ds="http://schemas.openxmlformats.org/officeDocument/2006/customXml" ds:itemID="{6C65B836-0D61-4FB9-8859-7F6DF5E4B4B4}"/>
</file>

<file path=customXml/itemProps3.xml><?xml version="1.0" encoding="utf-8"?>
<ds:datastoreItem xmlns:ds="http://schemas.openxmlformats.org/officeDocument/2006/customXml" ds:itemID="{75EED3EB-0C55-4FF0-A12B-DD462271A01F}"/>
</file>

<file path=customXml/itemProps4.xml><?xml version="1.0" encoding="utf-8"?>
<ds:datastoreItem xmlns:ds="http://schemas.openxmlformats.org/officeDocument/2006/customXml" ds:itemID="{BFFB7B72-883F-4ECC-BC91-2E6FAF62F64D}"/>
</file>

<file path=docProps/app.xml><?xml version="1.0" encoding="utf-8"?>
<Properties xmlns="http://schemas.openxmlformats.org/officeDocument/2006/extended-properties" xmlns:vt="http://schemas.openxmlformats.org/officeDocument/2006/docPropsVTypes">
  <Template>Normal</Template>
  <TotalTime>0</TotalTime>
  <Pages>15</Pages>
  <Words>5072</Words>
  <Characters>28916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Bowser</dc:creator>
  <cp:lastModifiedBy>Kaymie Owen</cp:lastModifiedBy>
  <cp:revision>2</cp:revision>
  <dcterms:created xsi:type="dcterms:W3CDTF">2017-08-17T15:56:00Z</dcterms:created>
  <dcterms:modified xsi:type="dcterms:W3CDTF">2017-08-17T15:56:00Z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